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093F" w14:textId="532DE82A" w:rsidR="00970C09" w:rsidRDefault="00B53952" w:rsidP="00970C09">
      <w:pPr>
        <w:spacing w:after="0" w:line="259" w:lineRule="auto"/>
        <w:ind w:left="13" w:firstLine="0"/>
        <w:jc w:val="center"/>
        <w:rPr>
          <w:b/>
          <w:sz w:val="48"/>
        </w:rPr>
      </w:pPr>
      <w:r>
        <w:rPr>
          <w:b/>
          <w:noProof/>
          <w:sz w:val="48"/>
        </w:rPr>
        <w:drawing>
          <wp:anchor distT="0" distB="0" distL="114300" distR="114300" simplePos="0" relativeHeight="251658240" behindDoc="1" locked="0" layoutInCell="1" allowOverlap="1" wp14:anchorId="3C12B687" wp14:editId="5C9B8DCC">
            <wp:simplePos x="0" y="0"/>
            <wp:positionH relativeFrom="column">
              <wp:posOffset>-214312</wp:posOffset>
            </wp:positionH>
            <wp:positionV relativeFrom="paragraph">
              <wp:posOffset>-2395540</wp:posOffset>
            </wp:positionV>
            <wp:extent cx="6645910" cy="4698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at Shapes.pn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645910" cy="4698365"/>
                    </a:xfrm>
                    <a:prstGeom prst="rect">
                      <a:avLst/>
                    </a:prstGeom>
                  </pic:spPr>
                </pic:pic>
              </a:graphicData>
            </a:graphic>
            <wp14:sizeRelH relativeFrom="page">
              <wp14:pctWidth>0</wp14:pctWidth>
            </wp14:sizeRelH>
            <wp14:sizeRelV relativeFrom="page">
              <wp14:pctHeight>0</wp14:pctHeight>
            </wp14:sizeRelV>
          </wp:anchor>
        </w:drawing>
      </w:r>
    </w:p>
    <w:p w14:paraId="576BA9A6" w14:textId="0B86F33B" w:rsidR="00970C09" w:rsidRDefault="00970C09" w:rsidP="00970C09">
      <w:pPr>
        <w:spacing w:after="0" w:line="259" w:lineRule="auto"/>
        <w:ind w:left="13" w:firstLine="0"/>
        <w:jc w:val="center"/>
        <w:rPr>
          <w:b/>
          <w:sz w:val="48"/>
        </w:rPr>
      </w:pPr>
    </w:p>
    <w:p w14:paraId="58583792" w14:textId="413EA79C" w:rsidR="00970C09" w:rsidRDefault="00970C09" w:rsidP="00970C09">
      <w:pPr>
        <w:spacing w:after="0" w:line="259" w:lineRule="auto"/>
        <w:ind w:left="13" w:firstLine="0"/>
        <w:jc w:val="center"/>
        <w:rPr>
          <w:b/>
          <w:sz w:val="48"/>
        </w:rPr>
      </w:pPr>
    </w:p>
    <w:p w14:paraId="4B58B5F4" w14:textId="516B719A" w:rsidR="00970C09" w:rsidRDefault="00970C09" w:rsidP="00970C09">
      <w:pPr>
        <w:spacing w:after="0" w:line="259" w:lineRule="auto"/>
        <w:ind w:left="13" w:firstLine="0"/>
        <w:jc w:val="center"/>
        <w:rPr>
          <w:b/>
          <w:sz w:val="48"/>
        </w:rPr>
      </w:pPr>
    </w:p>
    <w:p w14:paraId="25492A48" w14:textId="5D3D0812" w:rsidR="00970C09" w:rsidRDefault="00970C09" w:rsidP="00970C09">
      <w:pPr>
        <w:spacing w:after="0" w:line="259" w:lineRule="auto"/>
        <w:ind w:left="13" w:firstLine="0"/>
        <w:jc w:val="center"/>
        <w:rPr>
          <w:b/>
          <w:sz w:val="48"/>
        </w:rPr>
      </w:pPr>
    </w:p>
    <w:p w14:paraId="02E7E16E" w14:textId="77777777" w:rsidR="00970C09" w:rsidRDefault="00970C09" w:rsidP="00970C09">
      <w:pPr>
        <w:spacing w:after="0" w:line="259" w:lineRule="auto"/>
        <w:ind w:left="13" w:firstLine="0"/>
        <w:jc w:val="center"/>
        <w:rPr>
          <w:b/>
          <w:sz w:val="48"/>
        </w:rPr>
      </w:pPr>
    </w:p>
    <w:p w14:paraId="569BB98D" w14:textId="77777777" w:rsidR="00B53952" w:rsidRDefault="00B53952" w:rsidP="00E73B02">
      <w:pPr>
        <w:jc w:val="center"/>
        <w:rPr>
          <w:sz w:val="72"/>
          <w:szCs w:val="72"/>
        </w:rPr>
      </w:pPr>
    </w:p>
    <w:p w14:paraId="14BFE133" w14:textId="77777777" w:rsidR="00E73B02" w:rsidRDefault="00622B5A" w:rsidP="00E73B02">
      <w:pPr>
        <w:jc w:val="center"/>
        <w:rPr>
          <w:sz w:val="72"/>
          <w:szCs w:val="72"/>
        </w:rPr>
      </w:pPr>
      <w:r>
        <w:rPr>
          <w:sz w:val="72"/>
          <w:szCs w:val="72"/>
        </w:rPr>
        <w:t>Violence t</w:t>
      </w:r>
      <w:r w:rsidR="00E73B02">
        <w:rPr>
          <w:sz w:val="72"/>
          <w:szCs w:val="72"/>
        </w:rPr>
        <w:t xml:space="preserve">owards Staff </w:t>
      </w:r>
    </w:p>
    <w:p w14:paraId="202F29C3" w14:textId="77777777" w:rsidR="00E73B02" w:rsidRDefault="00E73B02" w:rsidP="00E73B02">
      <w:pPr>
        <w:jc w:val="center"/>
        <w:rPr>
          <w:rFonts w:eastAsiaTheme="majorEastAsia"/>
          <w:color w:val="365F91" w:themeColor="accent1" w:themeShade="BF"/>
          <w:sz w:val="80"/>
          <w:szCs w:val="80"/>
          <w:lang w:val="en-US" w:eastAsia="ja-JP"/>
        </w:rPr>
      </w:pPr>
      <w:r>
        <w:rPr>
          <w:sz w:val="72"/>
          <w:szCs w:val="72"/>
        </w:rPr>
        <w:t>Policy</w:t>
      </w:r>
    </w:p>
    <w:p w14:paraId="4C61EC37" w14:textId="77777777" w:rsidR="00970C09" w:rsidRDefault="00970C09" w:rsidP="00970C09">
      <w:pPr>
        <w:spacing w:after="0" w:line="259" w:lineRule="auto"/>
        <w:ind w:left="0" w:firstLine="0"/>
        <w:jc w:val="center"/>
      </w:pPr>
    </w:p>
    <w:p w14:paraId="63AFD3AB" w14:textId="77777777" w:rsidR="00970C09" w:rsidRDefault="00970C09" w:rsidP="00970C09">
      <w:pPr>
        <w:spacing w:after="0" w:line="259" w:lineRule="auto"/>
        <w:ind w:left="145" w:firstLine="0"/>
        <w:jc w:val="center"/>
      </w:pPr>
    </w:p>
    <w:p w14:paraId="6B583138" w14:textId="78C2AE16" w:rsidR="00970C09" w:rsidRPr="000C6810" w:rsidRDefault="005B65F9" w:rsidP="00970C09">
      <w:pPr>
        <w:spacing w:after="0" w:line="259" w:lineRule="auto"/>
        <w:ind w:left="-5" w:hanging="10"/>
        <w:jc w:val="center"/>
        <w:rPr>
          <w:b/>
          <w:sz w:val="40"/>
          <w:szCs w:val="40"/>
        </w:rPr>
      </w:pPr>
      <w:r>
        <w:rPr>
          <w:b/>
          <w:sz w:val="40"/>
          <w:szCs w:val="40"/>
        </w:rPr>
        <w:t>September 20</w:t>
      </w:r>
      <w:r w:rsidR="00E73B02">
        <w:rPr>
          <w:b/>
          <w:sz w:val="40"/>
          <w:szCs w:val="40"/>
        </w:rPr>
        <w:t>2</w:t>
      </w:r>
      <w:r w:rsidR="00701B39">
        <w:rPr>
          <w:b/>
          <w:sz w:val="40"/>
          <w:szCs w:val="40"/>
        </w:rPr>
        <w:t>3</w:t>
      </w:r>
    </w:p>
    <w:p w14:paraId="316512FA" w14:textId="77777777" w:rsidR="00970C09" w:rsidRDefault="00970C09" w:rsidP="00970C09">
      <w:pPr>
        <w:spacing w:after="0" w:line="259" w:lineRule="auto"/>
        <w:ind w:left="145" w:firstLine="0"/>
        <w:jc w:val="center"/>
      </w:pPr>
    </w:p>
    <w:p w14:paraId="052A7CE2" w14:textId="77777777" w:rsidR="00970C09" w:rsidRDefault="00970C09" w:rsidP="00970C09">
      <w:pPr>
        <w:spacing w:after="0" w:line="259" w:lineRule="auto"/>
        <w:ind w:left="145" w:firstLine="0"/>
        <w:jc w:val="center"/>
        <w:rPr>
          <w:sz w:val="40"/>
          <w:szCs w:val="40"/>
        </w:rPr>
      </w:pPr>
    </w:p>
    <w:p w14:paraId="4A05A9DE" w14:textId="3722DAB9" w:rsidR="00970C09" w:rsidRDefault="005B65F9" w:rsidP="00970C09">
      <w:pPr>
        <w:spacing w:after="0" w:line="259" w:lineRule="auto"/>
        <w:ind w:left="145" w:firstLine="0"/>
        <w:jc w:val="center"/>
        <w:rPr>
          <w:sz w:val="36"/>
          <w:szCs w:val="36"/>
        </w:rPr>
      </w:pPr>
      <w:r>
        <w:rPr>
          <w:sz w:val="36"/>
          <w:szCs w:val="36"/>
        </w:rPr>
        <w:t>Date for Review</w:t>
      </w:r>
      <w:r w:rsidR="00970C09" w:rsidRPr="00970C09">
        <w:rPr>
          <w:sz w:val="36"/>
          <w:szCs w:val="36"/>
        </w:rPr>
        <w:t xml:space="preserve">: </w:t>
      </w:r>
      <w:r>
        <w:rPr>
          <w:sz w:val="36"/>
          <w:szCs w:val="36"/>
        </w:rPr>
        <w:t xml:space="preserve">September </w:t>
      </w:r>
      <w:r w:rsidR="0087344E">
        <w:rPr>
          <w:sz w:val="36"/>
          <w:szCs w:val="36"/>
        </w:rPr>
        <w:t>202</w:t>
      </w:r>
      <w:r w:rsidR="00701B39">
        <w:rPr>
          <w:sz w:val="36"/>
          <w:szCs w:val="36"/>
        </w:rPr>
        <w:t>4</w:t>
      </w:r>
    </w:p>
    <w:p w14:paraId="77789C89" w14:textId="77777777" w:rsidR="00B53952" w:rsidRDefault="00B53952" w:rsidP="00970C09">
      <w:pPr>
        <w:spacing w:after="0" w:line="259" w:lineRule="auto"/>
        <w:ind w:left="145" w:firstLine="0"/>
        <w:jc w:val="center"/>
        <w:rPr>
          <w:sz w:val="36"/>
          <w:szCs w:val="36"/>
        </w:rPr>
      </w:pPr>
    </w:p>
    <w:p w14:paraId="691A2176" w14:textId="77777777" w:rsidR="00B53952" w:rsidRPr="00970C09" w:rsidRDefault="00B53952" w:rsidP="00970C09">
      <w:pPr>
        <w:spacing w:after="0" w:line="259" w:lineRule="auto"/>
        <w:ind w:left="145" w:firstLine="0"/>
        <w:jc w:val="center"/>
        <w:rPr>
          <w:sz w:val="36"/>
          <w:szCs w:val="36"/>
        </w:rPr>
      </w:pPr>
    </w:p>
    <w:p w14:paraId="194450BF" w14:textId="77777777" w:rsidR="00970C09" w:rsidRDefault="00970C09" w:rsidP="00970C09">
      <w:pPr>
        <w:pStyle w:val="Heading2"/>
        <w:jc w:val="center"/>
      </w:pPr>
    </w:p>
    <w:p w14:paraId="6CDA790A" w14:textId="2494FE87" w:rsidR="00970C09" w:rsidRDefault="00B53952" w:rsidP="00970C09">
      <w:pPr>
        <w:pStyle w:val="Heading2"/>
        <w:jc w:val="center"/>
      </w:pPr>
      <w:r>
        <w:rPr>
          <w:noProof/>
        </w:rPr>
        <w:drawing>
          <wp:inline distT="0" distB="0" distL="0" distR="0" wp14:anchorId="02F55424" wp14:editId="2DECFB7C">
            <wp:extent cx="2428875" cy="2515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at Logo Text Onl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0889" cy="2517162"/>
                    </a:xfrm>
                    <a:prstGeom prst="rect">
                      <a:avLst/>
                    </a:prstGeom>
                  </pic:spPr>
                </pic:pic>
              </a:graphicData>
            </a:graphic>
          </wp:inline>
        </w:drawing>
      </w:r>
    </w:p>
    <w:p w14:paraId="146263AE" w14:textId="77777777" w:rsidR="00970C09" w:rsidRDefault="00970C09" w:rsidP="00970C09">
      <w:pPr>
        <w:pStyle w:val="Heading2"/>
        <w:jc w:val="center"/>
      </w:pPr>
    </w:p>
    <w:p w14:paraId="1D96C52F" w14:textId="77777777" w:rsidR="00970C09" w:rsidRDefault="00970C09" w:rsidP="00970C09">
      <w:pPr>
        <w:pStyle w:val="Heading2"/>
        <w:jc w:val="center"/>
      </w:pPr>
    </w:p>
    <w:p w14:paraId="3C174DAD" w14:textId="77777777" w:rsidR="00970C09" w:rsidRDefault="00970C09" w:rsidP="00970C09">
      <w:pPr>
        <w:spacing w:after="0" w:line="259" w:lineRule="auto"/>
        <w:ind w:left="0" w:firstLine="0"/>
        <w:rPr>
          <w:b/>
        </w:rPr>
      </w:pPr>
    </w:p>
    <w:p w14:paraId="650BC920" w14:textId="77777777" w:rsidR="00970C09" w:rsidRDefault="00970C09" w:rsidP="00970C09">
      <w:pPr>
        <w:spacing w:after="0" w:line="259" w:lineRule="auto"/>
        <w:ind w:left="0" w:firstLine="0"/>
        <w:rPr>
          <w:b/>
        </w:rPr>
      </w:pPr>
    </w:p>
    <w:p w14:paraId="138B1C4A" w14:textId="77777777" w:rsidR="00EA097D" w:rsidRDefault="00EA097D" w:rsidP="00EA097D">
      <w:pPr>
        <w:ind w:left="-426" w:right="-342"/>
        <w:jc w:val="center"/>
        <w:rPr>
          <w:b/>
        </w:rPr>
      </w:pPr>
    </w:p>
    <w:p w14:paraId="25F69928" w14:textId="77777777" w:rsidR="00970C09" w:rsidRDefault="00970C09" w:rsidP="00970C09">
      <w:pPr>
        <w:ind w:left="15" w:firstLine="0"/>
        <w:jc w:val="center"/>
        <w:rPr>
          <w:b/>
        </w:rPr>
      </w:pPr>
    </w:p>
    <w:p w14:paraId="005E53E6" w14:textId="77777777" w:rsidR="00970C09" w:rsidRDefault="00970C09" w:rsidP="00970C09">
      <w:pPr>
        <w:pStyle w:val="Heading1"/>
        <w:ind w:left="0" w:firstLine="0"/>
        <w:rPr>
          <w:sz w:val="24"/>
          <w:szCs w:val="24"/>
        </w:rPr>
      </w:pPr>
      <w:bookmarkStart w:id="0" w:name="statement"/>
      <w:bookmarkStart w:id="1" w:name="A"/>
      <w:r w:rsidRPr="00821AC0">
        <w:rPr>
          <w:sz w:val="24"/>
          <w:szCs w:val="24"/>
        </w:rPr>
        <w:t>Statement of intent</w:t>
      </w:r>
    </w:p>
    <w:bookmarkEnd w:id="0"/>
    <w:bookmarkEnd w:id="1"/>
    <w:p w14:paraId="556A1FE6" w14:textId="77777777" w:rsidR="00D91635" w:rsidRDefault="00970C09" w:rsidP="00A92E24">
      <w:pPr>
        <w:spacing w:after="0"/>
        <w:ind w:left="0" w:firstLine="0"/>
        <w:jc w:val="both"/>
        <w:rPr>
          <w:color w:val="auto"/>
          <w:sz w:val="22"/>
        </w:rPr>
      </w:pPr>
      <w:r>
        <w:rPr>
          <w:b/>
          <w:color w:val="auto"/>
          <w:sz w:val="22"/>
        </w:rPr>
        <w:t>The James Montgomery Academy Trust (thereafter referred to as JMAT)</w:t>
      </w:r>
      <w:r w:rsidRPr="00821AC0">
        <w:rPr>
          <w:color w:val="auto"/>
          <w:sz w:val="22"/>
        </w:rPr>
        <w:t xml:space="preserve"> </w:t>
      </w:r>
      <w:r w:rsidR="00712E54">
        <w:rPr>
          <w:sz w:val="22"/>
        </w:rPr>
        <w:t xml:space="preserve">is committed </w:t>
      </w:r>
      <w:r w:rsidR="00712E54" w:rsidRPr="00712E54">
        <w:rPr>
          <w:sz w:val="22"/>
        </w:rPr>
        <w:t>to</w:t>
      </w:r>
      <w:r w:rsidR="00D91635">
        <w:rPr>
          <w:sz w:val="22"/>
        </w:rPr>
        <w:t xml:space="preserve"> </w:t>
      </w:r>
      <w:r w:rsidR="00622B5A">
        <w:rPr>
          <w:color w:val="auto"/>
          <w:sz w:val="22"/>
        </w:rPr>
        <w:t>preventing</w:t>
      </w:r>
    </w:p>
    <w:p w14:paraId="6356AFF7" w14:textId="0CC3EA2D" w:rsidR="00D91635" w:rsidRDefault="00622B5A" w:rsidP="00D91635">
      <w:pPr>
        <w:spacing w:after="0"/>
        <w:jc w:val="both"/>
        <w:rPr>
          <w:color w:val="auto"/>
          <w:sz w:val="22"/>
        </w:rPr>
      </w:pPr>
      <w:r>
        <w:rPr>
          <w:color w:val="auto"/>
          <w:sz w:val="22"/>
        </w:rPr>
        <w:t>v</w:t>
      </w:r>
      <w:r w:rsidR="00D91635" w:rsidRPr="00D91635">
        <w:rPr>
          <w:color w:val="auto"/>
          <w:sz w:val="22"/>
        </w:rPr>
        <w:t xml:space="preserve">iolent behaviour directed towards </w:t>
      </w:r>
      <w:r w:rsidR="0087344E">
        <w:rPr>
          <w:color w:val="auto"/>
          <w:sz w:val="22"/>
        </w:rPr>
        <w:t>its</w:t>
      </w:r>
      <w:r w:rsidR="00D91635" w:rsidRPr="00D91635">
        <w:rPr>
          <w:color w:val="auto"/>
          <w:sz w:val="22"/>
        </w:rPr>
        <w:t xml:space="preserve"> staff by parents and </w:t>
      </w:r>
      <w:r w:rsidR="00701B39">
        <w:rPr>
          <w:color w:val="auto"/>
          <w:sz w:val="22"/>
        </w:rPr>
        <w:t>children</w:t>
      </w:r>
      <w:r w:rsidR="00D91635" w:rsidRPr="00D91635">
        <w:rPr>
          <w:color w:val="auto"/>
          <w:sz w:val="22"/>
        </w:rPr>
        <w:t xml:space="preserve">. No member of staff will be expected to </w:t>
      </w:r>
    </w:p>
    <w:p w14:paraId="0FA988C6" w14:textId="77777777" w:rsidR="00D91635" w:rsidRPr="00D91635" w:rsidRDefault="00D91635" w:rsidP="00D91635">
      <w:pPr>
        <w:spacing w:after="0"/>
        <w:jc w:val="both"/>
        <w:rPr>
          <w:sz w:val="22"/>
        </w:rPr>
      </w:pPr>
      <w:r w:rsidRPr="00D91635">
        <w:rPr>
          <w:color w:val="auto"/>
          <w:sz w:val="22"/>
        </w:rPr>
        <w:t xml:space="preserve">accept exposure to violence as part of their job role. </w:t>
      </w:r>
    </w:p>
    <w:p w14:paraId="75F0D8F0" w14:textId="77777777" w:rsidR="00D91635" w:rsidRDefault="00D91635" w:rsidP="00D91635">
      <w:pPr>
        <w:jc w:val="both"/>
        <w:rPr>
          <w:color w:val="auto"/>
          <w:sz w:val="22"/>
        </w:rPr>
      </w:pPr>
    </w:p>
    <w:p w14:paraId="33BF5431" w14:textId="77777777" w:rsidR="00D33E80" w:rsidRDefault="00D33E80" w:rsidP="00D91635">
      <w:pPr>
        <w:jc w:val="both"/>
        <w:rPr>
          <w:color w:val="auto"/>
          <w:sz w:val="22"/>
        </w:rPr>
      </w:pPr>
      <w:r>
        <w:rPr>
          <w:color w:val="auto"/>
          <w:sz w:val="22"/>
        </w:rPr>
        <w:t>The JMAT</w:t>
      </w:r>
      <w:r w:rsidR="00D91635" w:rsidRPr="00D91635">
        <w:rPr>
          <w:color w:val="auto"/>
          <w:sz w:val="22"/>
        </w:rPr>
        <w:t xml:space="preserve"> employ</w:t>
      </w:r>
      <w:r>
        <w:rPr>
          <w:color w:val="auto"/>
          <w:sz w:val="22"/>
        </w:rPr>
        <w:t>s</w:t>
      </w:r>
      <w:r w:rsidR="00D91635" w:rsidRPr="00D91635">
        <w:rPr>
          <w:color w:val="auto"/>
          <w:sz w:val="22"/>
        </w:rPr>
        <w:t xml:space="preserve"> a </w:t>
      </w:r>
      <w:r w:rsidR="00D91635" w:rsidRPr="00D91635">
        <w:rPr>
          <w:bCs/>
          <w:color w:val="auto"/>
          <w:sz w:val="22"/>
        </w:rPr>
        <w:t>zero-tolerance policy on violence</w:t>
      </w:r>
      <w:r w:rsidR="00D91635" w:rsidRPr="00D91635">
        <w:rPr>
          <w:color w:val="auto"/>
          <w:sz w:val="22"/>
        </w:rPr>
        <w:t xml:space="preserve"> towards members of staff; under no circumstances </w:t>
      </w:r>
    </w:p>
    <w:p w14:paraId="4E0DAFF2" w14:textId="77777777" w:rsidR="00D91635" w:rsidRPr="00D91635" w:rsidRDefault="00D91635" w:rsidP="00D33E80">
      <w:pPr>
        <w:jc w:val="both"/>
        <w:rPr>
          <w:color w:val="auto"/>
          <w:sz w:val="22"/>
        </w:rPr>
      </w:pPr>
      <w:r w:rsidRPr="00D91635">
        <w:rPr>
          <w:color w:val="auto"/>
          <w:sz w:val="22"/>
        </w:rPr>
        <w:t xml:space="preserve">is violence towards any member of staff considered acceptable. </w:t>
      </w:r>
    </w:p>
    <w:p w14:paraId="7E23B013" w14:textId="77777777" w:rsidR="00D91635" w:rsidRDefault="00D91635" w:rsidP="00D91635">
      <w:pPr>
        <w:jc w:val="both"/>
        <w:rPr>
          <w:color w:val="auto"/>
          <w:sz w:val="22"/>
        </w:rPr>
      </w:pPr>
    </w:p>
    <w:p w14:paraId="3A26CEF3" w14:textId="77777777" w:rsidR="00D91635" w:rsidRDefault="00D91635" w:rsidP="00D91635">
      <w:pPr>
        <w:jc w:val="both"/>
        <w:rPr>
          <w:color w:val="auto"/>
          <w:sz w:val="22"/>
        </w:rPr>
      </w:pPr>
      <w:r w:rsidRPr="00D91635">
        <w:rPr>
          <w:color w:val="auto"/>
          <w:sz w:val="22"/>
        </w:rPr>
        <w:t xml:space="preserve">This policy relates to violence and aggression directed at staff, in connection with their duties, from parents </w:t>
      </w:r>
    </w:p>
    <w:p w14:paraId="38818D37" w14:textId="54298239" w:rsidR="00B867F0" w:rsidRDefault="00D91635" w:rsidP="00D91635">
      <w:pPr>
        <w:jc w:val="both"/>
        <w:rPr>
          <w:color w:val="auto"/>
          <w:sz w:val="22"/>
        </w:rPr>
      </w:pPr>
      <w:r w:rsidRPr="00D91635">
        <w:rPr>
          <w:color w:val="auto"/>
          <w:sz w:val="22"/>
        </w:rPr>
        <w:t xml:space="preserve">and </w:t>
      </w:r>
      <w:r w:rsidR="00701B39">
        <w:rPr>
          <w:color w:val="auto"/>
          <w:sz w:val="22"/>
        </w:rPr>
        <w:t>children</w:t>
      </w:r>
      <w:r w:rsidRPr="00D91635">
        <w:rPr>
          <w:color w:val="auto"/>
          <w:sz w:val="22"/>
        </w:rPr>
        <w:t xml:space="preserve">. The </w:t>
      </w:r>
      <w:r>
        <w:rPr>
          <w:color w:val="auto"/>
          <w:sz w:val="22"/>
        </w:rPr>
        <w:t xml:space="preserve">JMAT’s </w:t>
      </w:r>
      <w:r w:rsidR="00B867F0" w:rsidRPr="00B867F0">
        <w:rPr>
          <w:color w:val="FF0000"/>
          <w:sz w:val="22"/>
        </w:rPr>
        <w:t>Physical Intervention Policy</w:t>
      </w:r>
      <w:r w:rsidRPr="00B867F0">
        <w:rPr>
          <w:color w:val="FF0000"/>
          <w:sz w:val="22"/>
        </w:rPr>
        <w:t xml:space="preserve"> </w:t>
      </w:r>
      <w:r w:rsidRPr="00D91635">
        <w:rPr>
          <w:color w:val="auto"/>
          <w:sz w:val="22"/>
        </w:rPr>
        <w:t>deals with issues regardi</w:t>
      </w:r>
      <w:r w:rsidR="00B867F0">
        <w:rPr>
          <w:color w:val="auto"/>
          <w:sz w:val="22"/>
        </w:rPr>
        <w:t xml:space="preserve">ng staff using reasonable </w:t>
      </w:r>
    </w:p>
    <w:p w14:paraId="4C5D856A" w14:textId="3D21AE3A" w:rsidR="00D91635" w:rsidRDefault="00B867F0" w:rsidP="00D91635">
      <w:pPr>
        <w:jc w:val="both"/>
        <w:rPr>
          <w:color w:val="auto"/>
          <w:sz w:val="22"/>
        </w:rPr>
      </w:pPr>
      <w:r>
        <w:rPr>
          <w:color w:val="auto"/>
          <w:sz w:val="22"/>
        </w:rPr>
        <w:t xml:space="preserve">force </w:t>
      </w:r>
      <w:r w:rsidR="00D91635" w:rsidRPr="00D91635">
        <w:rPr>
          <w:color w:val="auto"/>
          <w:sz w:val="22"/>
        </w:rPr>
        <w:t xml:space="preserve">to restrain </w:t>
      </w:r>
      <w:r w:rsidR="00701B39">
        <w:rPr>
          <w:color w:val="auto"/>
          <w:sz w:val="22"/>
        </w:rPr>
        <w:t>children</w:t>
      </w:r>
      <w:r w:rsidR="00D91635" w:rsidRPr="00D91635">
        <w:rPr>
          <w:color w:val="auto"/>
          <w:sz w:val="22"/>
        </w:rPr>
        <w:t xml:space="preserve">. </w:t>
      </w:r>
    </w:p>
    <w:p w14:paraId="3AD41AD6" w14:textId="77777777" w:rsidR="0079791C" w:rsidRDefault="0079791C" w:rsidP="00D91635">
      <w:pPr>
        <w:jc w:val="both"/>
        <w:rPr>
          <w:color w:val="auto"/>
          <w:sz w:val="22"/>
        </w:rPr>
      </w:pPr>
    </w:p>
    <w:p w14:paraId="761649B9" w14:textId="77777777" w:rsidR="0079791C" w:rsidRPr="0079791C" w:rsidRDefault="0079791C" w:rsidP="00D91635">
      <w:pPr>
        <w:jc w:val="both"/>
        <w:rPr>
          <w:b/>
          <w:color w:val="auto"/>
          <w:szCs w:val="24"/>
        </w:rPr>
      </w:pPr>
      <w:r w:rsidRPr="0079791C">
        <w:rPr>
          <w:b/>
          <w:color w:val="auto"/>
          <w:szCs w:val="24"/>
        </w:rPr>
        <w:t>The philosophy</w:t>
      </w:r>
    </w:p>
    <w:p w14:paraId="24C26AEA" w14:textId="77777777" w:rsidR="0079791C" w:rsidRDefault="0079791C" w:rsidP="0079791C">
      <w:pPr>
        <w:ind w:left="0" w:firstLine="0"/>
        <w:jc w:val="both"/>
        <w:rPr>
          <w:sz w:val="22"/>
        </w:rPr>
      </w:pPr>
      <w:r>
        <w:rPr>
          <w:sz w:val="22"/>
        </w:rPr>
        <w:t>The JMAT recognises its obligations to minimise the risk of violence to staff at work.  We strongly believe that:</w:t>
      </w:r>
    </w:p>
    <w:p w14:paraId="518C51A6" w14:textId="77777777" w:rsidR="0079791C" w:rsidRDefault="0079791C" w:rsidP="0079791C">
      <w:pPr>
        <w:ind w:left="0" w:firstLine="0"/>
        <w:jc w:val="both"/>
        <w:rPr>
          <w:sz w:val="22"/>
        </w:rPr>
      </w:pPr>
    </w:p>
    <w:p w14:paraId="0F252174" w14:textId="77777777" w:rsidR="0079791C" w:rsidRDefault="0079791C" w:rsidP="0079791C">
      <w:pPr>
        <w:ind w:left="720" w:firstLine="0"/>
        <w:jc w:val="both"/>
        <w:rPr>
          <w:sz w:val="22"/>
        </w:rPr>
      </w:pPr>
      <w:r w:rsidRPr="0079791C">
        <w:rPr>
          <w:sz w:val="22"/>
        </w:rPr>
        <w:sym w:font="Symbol" w:char="F0B7"/>
      </w:r>
      <w:r w:rsidRPr="0079791C">
        <w:rPr>
          <w:sz w:val="22"/>
        </w:rPr>
        <w:t xml:space="preserve"> </w:t>
      </w:r>
      <w:r>
        <w:rPr>
          <w:sz w:val="22"/>
        </w:rPr>
        <w:t xml:space="preserve">   </w:t>
      </w:r>
      <w:r w:rsidRPr="0079791C">
        <w:rPr>
          <w:sz w:val="22"/>
        </w:rPr>
        <w:t>All violence is unacceptable, whatever form it takes and wha</w:t>
      </w:r>
      <w:r>
        <w:rPr>
          <w:sz w:val="22"/>
        </w:rPr>
        <w:t>tever reasons are cited for it</w:t>
      </w:r>
    </w:p>
    <w:p w14:paraId="1E8111F2" w14:textId="77777777" w:rsidR="0079791C" w:rsidRPr="0079791C" w:rsidRDefault="0079791C" w:rsidP="0079791C">
      <w:pPr>
        <w:pStyle w:val="ListParagraph"/>
        <w:numPr>
          <w:ilvl w:val="0"/>
          <w:numId w:val="45"/>
        </w:numPr>
        <w:jc w:val="both"/>
        <w:rPr>
          <w:b/>
          <w:color w:val="auto"/>
          <w:sz w:val="22"/>
        </w:rPr>
      </w:pPr>
      <w:r w:rsidRPr="0079791C">
        <w:rPr>
          <w:sz w:val="22"/>
        </w:rPr>
        <w:t xml:space="preserve">Dealing with, or being subject to, violent behaviour is not considered to be a failure on the part of the employee. </w:t>
      </w:r>
    </w:p>
    <w:p w14:paraId="589A2A3C" w14:textId="77777777" w:rsidR="0079791C" w:rsidRPr="0079791C" w:rsidRDefault="0079791C" w:rsidP="0079791C">
      <w:pPr>
        <w:pStyle w:val="ListParagraph"/>
        <w:numPr>
          <w:ilvl w:val="0"/>
          <w:numId w:val="45"/>
        </w:numPr>
        <w:jc w:val="both"/>
        <w:rPr>
          <w:b/>
          <w:color w:val="auto"/>
          <w:sz w:val="22"/>
        </w:rPr>
      </w:pPr>
      <w:r w:rsidRPr="0079791C">
        <w:rPr>
          <w:sz w:val="22"/>
        </w:rPr>
        <w:t xml:space="preserve">Violence is not considered to be an acceptable part of any job, nor is it part of the duties of an employee to accept violent behaviour. </w:t>
      </w:r>
    </w:p>
    <w:p w14:paraId="2D5317EA" w14:textId="77777777" w:rsidR="0079791C" w:rsidRPr="0079791C" w:rsidRDefault="0079791C" w:rsidP="0079791C">
      <w:pPr>
        <w:pStyle w:val="ListParagraph"/>
        <w:ind w:left="1080" w:firstLine="0"/>
        <w:jc w:val="both"/>
        <w:rPr>
          <w:b/>
          <w:color w:val="auto"/>
          <w:sz w:val="22"/>
        </w:rPr>
      </w:pPr>
    </w:p>
    <w:p w14:paraId="67C936DC" w14:textId="77777777" w:rsidR="0079791C" w:rsidRDefault="0079791C" w:rsidP="0079791C">
      <w:pPr>
        <w:jc w:val="both"/>
        <w:rPr>
          <w:sz w:val="22"/>
        </w:rPr>
      </w:pPr>
      <w:r w:rsidRPr="0079791C">
        <w:rPr>
          <w:sz w:val="22"/>
        </w:rPr>
        <w:t xml:space="preserve">We recognise the potentially damaging effects of violence on individuals, work performance and the </w:t>
      </w:r>
    </w:p>
    <w:p w14:paraId="2D4A815F" w14:textId="77777777" w:rsidR="0079791C" w:rsidRPr="0079791C" w:rsidRDefault="0079791C" w:rsidP="0079791C">
      <w:pPr>
        <w:jc w:val="both"/>
        <w:rPr>
          <w:b/>
          <w:color w:val="auto"/>
          <w:sz w:val="22"/>
        </w:rPr>
      </w:pPr>
      <w:r>
        <w:rPr>
          <w:sz w:val="22"/>
        </w:rPr>
        <w:t>JMAT</w:t>
      </w:r>
      <w:r w:rsidRPr="0079791C">
        <w:rPr>
          <w:sz w:val="22"/>
        </w:rPr>
        <w:t xml:space="preserve"> as a whole, and are committed to combating it.</w:t>
      </w:r>
    </w:p>
    <w:p w14:paraId="1E51DF1F" w14:textId="77777777" w:rsidR="0079791C" w:rsidRDefault="0079791C" w:rsidP="00D33E80">
      <w:pPr>
        <w:ind w:left="0" w:firstLine="0"/>
        <w:rPr>
          <w:b/>
        </w:rPr>
      </w:pPr>
    </w:p>
    <w:p w14:paraId="45E97849" w14:textId="77777777" w:rsidR="00712E54" w:rsidRPr="00712E54" w:rsidRDefault="00712E54" w:rsidP="00D33E80">
      <w:pPr>
        <w:ind w:left="0" w:firstLine="0"/>
        <w:rPr>
          <w:b/>
        </w:rPr>
      </w:pPr>
      <w:r w:rsidRPr="00712E54">
        <w:rPr>
          <w:b/>
        </w:rPr>
        <w:t>Legal framework</w:t>
      </w:r>
    </w:p>
    <w:p w14:paraId="4496B59C" w14:textId="77777777" w:rsidR="00712E54" w:rsidRDefault="00712E54" w:rsidP="00A92E24">
      <w:pPr>
        <w:ind w:left="0" w:firstLine="0"/>
        <w:rPr>
          <w:sz w:val="22"/>
        </w:rPr>
      </w:pPr>
      <w:r w:rsidRPr="00D91635">
        <w:rPr>
          <w:sz w:val="22"/>
        </w:rPr>
        <w:t>This policy has due regard to statutory legislation including, but not limited to, the following:</w:t>
      </w:r>
    </w:p>
    <w:p w14:paraId="64C20B8B" w14:textId="77777777" w:rsidR="00D33E80" w:rsidRPr="00D91635" w:rsidRDefault="00D33E80" w:rsidP="00712E54">
      <w:pPr>
        <w:rPr>
          <w:sz w:val="22"/>
        </w:rPr>
      </w:pPr>
    </w:p>
    <w:p w14:paraId="0341C697" w14:textId="77777777" w:rsidR="00D91635" w:rsidRPr="00D91635" w:rsidRDefault="00D91635" w:rsidP="00D33E80">
      <w:pPr>
        <w:pStyle w:val="TSB-PolicyBullets"/>
        <w:numPr>
          <w:ilvl w:val="0"/>
          <w:numId w:val="41"/>
        </w:numPr>
        <w:rPr>
          <w:b/>
          <w:bCs/>
        </w:rPr>
      </w:pPr>
      <w:r w:rsidRPr="00D91635">
        <w:t>Health and Safety at Work etc. Act 1974</w:t>
      </w:r>
    </w:p>
    <w:p w14:paraId="0D6C4256" w14:textId="77777777" w:rsidR="00D91635" w:rsidRPr="00D91635" w:rsidRDefault="00D91635" w:rsidP="00D33E80">
      <w:pPr>
        <w:pStyle w:val="TSB-PolicyBullets"/>
        <w:numPr>
          <w:ilvl w:val="0"/>
          <w:numId w:val="41"/>
        </w:numPr>
        <w:rPr>
          <w:b/>
          <w:bCs/>
        </w:rPr>
      </w:pPr>
      <w:r w:rsidRPr="00D91635">
        <w:t>The Reporting of Injuries, Diseases and Dangerous Occurrences Regulations 2013 (RIDDOR)</w:t>
      </w:r>
    </w:p>
    <w:p w14:paraId="0D39888E" w14:textId="489CFB93" w:rsidR="00D91635" w:rsidRPr="00D91635" w:rsidRDefault="00D91635" w:rsidP="00D33E80">
      <w:pPr>
        <w:pStyle w:val="TSB-PolicyBullets"/>
        <w:numPr>
          <w:ilvl w:val="0"/>
          <w:numId w:val="41"/>
        </w:numPr>
        <w:rPr>
          <w:b/>
          <w:bCs/>
        </w:rPr>
      </w:pPr>
      <w:r w:rsidRPr="00D91635">
        <w:t xml:space="preserve">Education Act </w:t>
      </w:r>
      <w:r w:rsidR="00B867F0">
        <w:t>20</w:t>
      </w:r>
      <w:r w:rsidR="005D00DD">
        <w:t>11</w:t>
      </w:r>
    </w:p>
    <w:p w14:paraId="7338799D" w14:textId="77777777" w:rsidR="00D91635" w:rsidRPr="00D91635" w:rsidRDefault="00D91635" w:rsidP="00D33E80">
      <w:pPr>
        <w:pStyle w:val="TSB-PolicyBullets"/>
        <w:numPr>
          <w:ilvl w:val="0"/>
          <w:numId w:val="41"/>
        </w:numPr>
        <w:rPr>
          <w:b/>
          <w:bCs/>
        </w:rPr>
      </w:pPr>
      <w:r w:rsidRPr="00D91635">
        <w:t>Local Government (Miscellaneous Provisions) Act 1982</w:t>
      </w:r>
    </w:p>
    <w:p w14:paraId="589E678E" w14:textId="77777777" w:rsidR="00D91635" w:rsidRDefault="00D91635" w:rsidP="00712E54">
      <w:pPr>
        <w:rPr>
          <w:sz w:val="22"/>
        </w:rPr>
      </w:pPr>
    </w:p>
    <w:p w14:paraId="4FF7A59A" w14:textId="77777777" w:rsidR="00712E54" w:rsidRPr="00D91635" w:rsidRDefault="00712E54" w:rsidP="00712E54">
      <w:pPr>
        <w:rPr>
          <w:sz w:val="22"/>
        </w:rPr>
      </w:pPr>
      <w:r w:rsidRPr="00D91635">
        <w:rPr>
          <w:sz w:val="22"/>
        </w:rPr>
        <w:t>This policy also has due regard to statutory guidance, including, but not limited to, the following:</w:t>
      </w:r>
    </w:p>
    <w:p w14:paraId="6A98D7D0" w14:textId="77777777" w:rsidR="009A3086" w:rsidRPr="00D91635" w:rsidRDefault="009A3086" w:rsidP="00712E54">
      <w:pPr>
        <w:rPr>
          <w:sz w:val="22"/>
        </w:rPr>
      </w:pPr>
    </w:p>
    <w:p w14:paraId="049C42B9" w14:textId="77777777" w:rsidR="00D91635" w:rsidRPr="00D91635" w:rsidRDefault="00D91635" w:rsidP="00D33E80">
      <w:pPr>
        <w:pStyle w:val="TSB-PolicyBullets"/>
        <w:numPr>
          <w:ilvl w:val="0"/>
          <w:numId w:val="40"/>
        </w:numPr>
      </w:pPr>
      <w:r w:rsidRPr="00D91635">
        <w:t xml:space="preserve">HSE et al (2009) ‘Preventing workplace harassment and violence’ </w:t>
      </w:r>
    </w:p>
    <w:p w14:paraId="79B865DB" w14:textId="77777777" w:rsidR="00D33E80" w:rsidRPr="00D33E80" w:rsidRDefault="00D91635" w:rsidP="00D33E80">
      <w:pPr>
        <w:pStyle w:val="TSB-PolicyBullets"/>
        <w:numPr>
          <w:ilvl w:val="0"/>
          <w:numId w:val="40"/>
        </w:numPr>
        <w:rPr>
          <w:b/>
          <w:bCs/>
        </w:rPr>
      </w:pPr>
      <w:r w:rsidRPr="00D91635">
        <w:t>DfE (2018) ‘Controlling access to school premises’</w:t>
      </w:r>
    </w:p>
    <w:p w14:paraId="32287AAB" w14:textId="5697662B" w:rsidR="00712E54" w:rsidRPr="00ED71E4" w:rsidRDefault="00712E54" w:rsidP="00D33E80">
      <w:pPr>
        <w:pStyle w:val="TSB-PolicyBullets"/>
        <w:numPr>
          <w:ilvl w:val="0"/>
          <w:numId w:val="40"/>
        </w:numPr>
        <w:rPr>
          <w:b/>
          <w:bCs/>
        </w:rPr>
      </w:pPr>
      <w:r w:rsidRPr="00D33E80">
        <w:t>DfE ‘Keeping children safe in education’</w:t>
      </w:r>
    </w:p>
    <w:p w14:paraId="21ACA652" w14:textId="77755946" w:rsidR="00ED71E4" w:rsidRPr="00D33E80" w:rsidRDefault="00ED71E4" w:rsidP="00D33E80">
      <w:pPr>
        <w:pStyle w:val="TSB-PolicyBullets"/>
        <w:numPr>
          <w:ilvl w:val="0"/>
          <w:numId w:val="40"/>
        </w:numPr>
        <w:rPr>
          <w:b/>
          <w:bCs/>
        </w:rPr>
      </w:pPr>
      <w:r w:rsidRPr="00B909FB">
        <w:t>Protection from Harassment Act 1997</w:t>
      </w:r>
    </w:p>
    <w:p w14:paraId="55F6D28E" w14:textId="77777777" w:rsidR="00D91635" w:rsidRDefault="00D91635" w:rsidP="00D33E80">
      <w:pPr>
        <w:pStyle w:val="TSB-Level2Numbers"/>
        <w:spacing w:after="0"/>
        <w:ind w:left="360" w:firstLine="0"/>
        <w:rPr>
          <w:rFonts w:ascii="Arial" w:eastAsia="Arial" w:hAnsi="Arial" w:cs="Arial"/>
          <w:color w:val="000000"/>
          <w:szCs w:val="22"/>
          <w:lang w:eastAsia="en-GB"/>
        </w:rPr>
      </w:pPr>
    </w:p>
    <w:p w14:paraId="78F862A8" w14:textId="77777777" w:rsidR="00D91635" w:rsidRDefault="00D91635" w:rsidP="00D91635">
      <w:pPr>
        <w:pStyle w:val="TSB-Level2Numbers"/>
        <w:spacing w:after="0"/>
        <w:ind w:left="0" w:firstLine="0"/>
        <w:rPr>
          <w:rFonts w:ascii="Arial" w:hAnsi="Arial" w:cs="Arial"/>
          <w:szCs w:val="22"/>
        </w:rPr>
      </w:pPr>
      <w:r w:rsidRPr="00D91635">
        <w:rPr>
          <w:rFonts w:ascii="Arial" w:hAnsi="Arial" w:cs="Arial"/>
          <w:szCs w:val="22"/>
        </w:rPr>
        <w:t>This policy operates in conjun</w:t>
      </w:r>
      <w:r>
        <w:rPr>
          <w:rFonts w:ascii="Arial" w:hAnsi="Arial" w:cs="Arial"/>
          <w:szCs w:val="22"/>
        </w:rPr>
        <w:t xml:space="preserve">ction with the following JMAT </w:t>
      </w:r>
      <w:r w:rsidRPr="00D91635">
        <w:rPr>
          <w:rFonts w:ascii="Arial" w:hAnsi="Arial" w:cs="Arial"/>
          <w:szCs w:val="22"/>
        </w:rPr>
        <w:t>policies:</w:t>
      </w:r>
    </w:p>
    <w:p w14:paraId="6BEDB566" w14:textId="77777777" w:rsidR="00D33E80" w:rsidRDefault="00D33E80" w:rsidP="00D91635">
      <w:pPr>
        <w:pStyle w:val="TSB-Level2Numbers"/>
        <w:spacing w:after="0"/>
        <w:ind w:left="0" w:firstLine="0"/>
        <w:rPr>
          <w:rFonts w:ascii="Arial" w:hAnsi="Arial" w:cs="Arial"/>
          <w:szCs w:val="22"/>
        </w:rPr>
      </w:pPr>
    </w:p>
    <w:p w14:paraId="1954F953" w14:textId="061F77B3" w:rsidR="00D91635" w:rsidRPr="00D91635" w:rsidRDefault="0087344E" w:rsidP="00D33E80">
      <w:pPr>
        <w:pStyle w:val="TSB-PolicyBullets"/>
        <w:numPr>
          <w:ilvl w:val="0"/>
          <w:numId w:val="39"/>
        </w:numPr>
      </w:pPr>
      <w:r>
        <w:t>Physical Intervention Policy</w:t>
      </w:r>
    </w:p>
    <w:p w14:paraId="6BEDB4F3" w14:textId="77777777" w:rsidR="00D91635" w:rsidRPr="00D91635" w:rsidRDefault="00D91635" w:rsidP="00D33E80">
      <w:pPr>
        <w:pStyle w:val="TSB-PolicyBullets"/>
        <w:numPr>
          <w:ilvl w:val="0"/>
          <w:numId w:val="39"/>
        </w:numPr>
      </w:pPr>
      <w:r w:rsidRPr="00D91635">
        <w:t>Staff Code of Conduct</w:t>
      </w:r>
    </w:p>
    <w:p w14:paraId="1943B947" w14:textId="77777777" w:rsidR="00D91635" w:rsidRPr="00D91635" w:rsidRDefault="00D91635" w:rsidP="00D33E80">
      <w:pPr>
        <w:pStyle w:val="TSB-PolicyBullets"/>
        <w:numPr>
          <w:ilvl w:val="0"/>
          <w:numId w:val="39"/>
        </w:numPr>
      </w:pPr>
      <w:r w:rsidRPr="00D91635">
        <w:t>Health and Safety Policy</w:t>
      </w:r>
    </w:p>
    <w:p w14:paraId="56279AF4" w14:textId="77777777" w:rsidR="00D91635" w:rsidRDefault="00D91635" w:rsidP="00D33E80">
      <w:pPr>
        <w:pStyle w:val="TSB-PolicyBullets"/>
        <w:numPr>
          <w:ilvl w:val="0"/>
          <w:numId w:val="39"/>
        </w:numPr>
      </w:pPr>
      <w:r w:rsidRPr="00D91635">
        <w:t>Grievance P</w:t>
      </w:r>
      <w:r w:rsidR="00622B5A">
        <w:t>rocedures and Dignity at Work P</w:t>
      </w:r>
      <w:r w:rsidRPr="00D91635">
        <w:t>olicy</w:t>
      </w:r>
    </w:p>
    <w:p w14:paraId="48706B64" w14:textId="77777777" w:rsidR="009719B3" w:rsidRPr="00D91635" w:rsidRDefault="009719B3" w:rsidP="00D33E80">
      <w:pPr>
        <w:pStyle w:val="TSB-PolicyBullets"/>
        <w:numPr>
          <w:ilvl w:val="0"/>
          <w:numId w:val="39"/>
        </w:numPr>
      </w:pPr>
      <w:r>
        <w:t>Parental Code of Conduct</w:t>
      </w:r>
    </w:p>
    <w:p w14:paraId="1BD4B29F" w14:textId="77777777" w:rsidR="00C45A12" w:rsidRPr="00D33E80" w:rsidRDefault="00C45A12" w:rsidP="00C45A12">
      <w:pPr>
        <w:pStyle w:val="TSB-PolicyBullets"/>
        <w:rPr>
          <w:sz w:val="24"/>
          <w:szCs w:val="24"/>
        </w:rPr>
      </w:pPr>
    </w:p>
    <w:p w14:paraId="5CCC2949" w14:textId="77777777" w:rsidR="003810C1" w:rsidRDefault="003810C1" w:rsidP="00C45A12">
      <w:pPr>
        <w:pStyle w:val="TSB-PolicyBullets"/>
        <w:rPr>
          <w:b/>
          <w:sz w:val="24"/>
          <w:szCs w:val="24"/>
        </w:rPr>
      </w:pPr>
    </w:p>
    <w:p w14:paraId="1F58C166" w14:textId="77777777" w:rsidR="003810C1" w:rsidRDefault="003810C1" w:rsidP="00C45A12">
      <w:pPr>
        <w:pStyle w:val="TSB-PolicyBullets"/>
        <w:rPr>
          <w:b/>
          <w:sz w:val="24"/>
          <w:szCs w:val="24"/>
        </w:rPr>
      </w:pPr>
    </w:p>
    <w:p w14:paraId="49D548B1" w14:textId="77777777" w:rsidR="00C45A12" w:rsidRPr="00D33E80" w:rsidRDefault="00C45A12" w:rsidP="00C45A12">
      <w:pPr>
        <w:pStyle w:val="TSB-PolicyBullets"/>
        <w:rPr>
          <w:b/>
          <w:sz w:val="24"/>
          <w:szCs w:val="24"/>
        </w:rPr>
      </w:pPr>
      <w:r w:rsidRPr="00D33E80">
        <w:rPr>
          <w:b/>
          <w:sz w:val="24"/>
          <w:szCs w:val="24"/>
        </w:rPr>
        <w:t xml:space="preserve">Definitions </w:t>
      </w:r>
    </w:p>
    <w:p w14:paraId="752CB68B" w14:textId="77777777" w:rsidR="00C45A12" w:rsidRPr="00C45A12" w:rsidRDefault="00C45A12" w:rsidP="00C45A12">
      <w:pPr>
        <w:pStyle w:val="TSB-PolicyBullets"/>
      </w:pPr>
      <w:r w:rsidRPr="00C45A12">
        <w:t>For the purpose of this policy “</w:t>
      </w:r>
      <w:r w:rsidRPr="00C45A12">
        <w:rPr>
          <w:b/>
          <w:bCs/>
        </w:rPr>
        <w:t>harassment</w:t>
      </w:r>
      <w:r w:rsidRPr="00C45A12">
        <w:t xml:space="preserve">” refers to when someone is repeatedly and deliberately abused, threatened and/or humiliated in circumstances related to work. </w:t>
      </w:r>
    </w:p>
    <w:p w14:paraId="4F63E942" w14:textId="77777777" w:rsidR="00C45A12" w:rsidRDefault="00C45A12" w:rsidP="00C45A12">
      <w:pPr>
        <w:pStyle w:val="TSB-PolicyBullets"/>
      </w:pPr>
    </w:p>
    <w:p w14:paraId="46F85F12" w14:textId="77777777" w:rsidR="00C45A12" w:rsidRPr="00C45A12" w:rsidRDefault="00C45A12" w:rsidP="00C45A12">
      <w:pPr>
        <w:pStyle w:val="TSB-PolicyBullets"/>
      </w:pPr>
      <w:r w:rsidRPr="00C45A12">
        <w:t>For the purpose of this policy “</w:t>
      </w:r>
      <w:r w:rsidRPr="00C45A12">
        <w:rPr>
          <w:b/>
          <w:bCs/>
        </w:rPr>
        <w:t>violence</w:t>
      </w:r>
      <w:r w:rsidRPr="00C45A12">
        <w:t xml:space="preserve">” refers to when someone is assaulted in circumstances related to work. </w:t>
      </w:r>
    </w:p>
    <w:p w14:paraId="41640410" w14:textId="77777777" w:rsidR="00C45A12" w:rsidRDefault="00C45A12" w:rsidP="00C45A12">
      <w:pPr>
        <w:pStyle w:val="TSB-PolicyBullets"/>
      </w:pPr>
    </w:p>
    <w:p w14:paraId="34FCC170" w14:textId="6AB0299A" w:rsidR="00C45A12" w:rsidRDefault="00C45A12" w:rsidP="00C45A12">
      <w:pPr>
        <w:pStyle w:val="TSB-PolicyBullets"/>
      </w:pPr>
      <w:r w:rsidRPr="00C45A12">
        <w:t xml:space="preserve">Types of violence, threatening behaviour and abuse understood in this policy include: </w:t>
      </w:r>
    </w:p>
    <w:p w14:paraId="0338FB06" w14:textId="77777777" w:rsidR="009E1D70" w:rsidRPr="00C45A12" w:rsidRDefault="009E1D70" w:rsidP="00C45A12">
      <w:pPr>
        <w:pStyle w:val="TSB-PolicyBullets"/>
      </w:pPr>
    </w:p>
    <w:p w14:paraId="5F95C78B" w14:textId="77777777" w:rsidR="00C45A12" w:rsidRPr="00C45A12" w:rsidRDefault="00C45A12" w:rsidP="00D33E80">
      <w:pPr>
        <w:pStyle w:val="TSB-PolicyBullets"/>
        <w:numPr>
          <w:ilvl w:val="0"/>
          <w:numId w:val="43"/>
        </w:numPr>
      </w:pPr>
      <w:r w:rsidRPr="00C45A12">
        <w:rPr>
          <w:b/>
          <w:bCs/>
        </w:rPr>
        <w:t>Verbal abuse</w:t>
      </w:r>
      <w:r w:rsidR="00A815AC">
        <w:rPr>
          <w:b/>
          <w:bCs/>
        </w:rPr>
        <w:t xml:space="preserve"> and threats</w:t>
      </w:r>
      <w:r w:rsidRPr="00C45A12">
        <w:t xml:space="preserve"> </w:t>
      </w:r>
      <w:r w:rsidRPr="00C45A12">
        <w:rPr>
          <w:rFonts w:cstheme="minorHAnsi"/>
        </w:rPr>
        <w:t>–</w:t>
      </w:r>
      <w:r w:rsidRPr="00C45A12">
        <w:t xml:space="preserve"> abusive and aggressive language, oral or written. </w:t>
      </w:r>
      <w:r w:rsidR="00A815AC">
        <w:t xml:space="preserve">Verbal abuse, including rude gestures and innuendoes, is the most common types of </w:t>
      </w:r>
      <w:proofErr w:type="gramStart"/>
      <w:r w:rsidR="00A815AC">
        <w:t>incident</w:t>
      </w:r>
      <w:proofErr w:type="gramEnd"/>
      <w:r w:rsidR="00A815AC">
        <w:t>.</w:t>
      </w:r>
    </w:p>
    <w:p w14:paraId="101501E1" w14:textId="77777777" w:rsidR="00C45A12" w:rsidRPr="00C45A12" w:rsidRDefault="00C45A12" w:rsidP="00D33E80">
      <w:pPr>
        <w:pStyle w:val="TSB-PolicyBullets"/>
        <w:numPr>
          <w:ilvl w:val="0"/>
          <w:numId w:val="43"/>
        </w:numPr>
      </w:pPr>
      <w:r w:rsidRPr="00C45A12">
        <w:rPr>
          <w:b/>
          <w:bCs/>
        </w:rPr>
        <w:t>Physical assault</w:t>
      </w:r>
      <w:r w:rsidRPr="00C45A12">
        <w:t xml:space="preserve"> – assault causing minor injury, such as a graze, minor bruising, reddening of the skin, minor cuts/lacerations, or a more serious injury. </w:t>
      </w:r>
    </w:p>
    <w:p w14:paraId="10F5DB2D" w14:textId="77777777" w:rsidR="00C45A12" w:rsidRPr="00C45A12" w:rsidRDefault="00C45A12" w:rsidP="00D33E80">
      <w:pPr>
        <w:pStyle w:val="TSB-PolicyBullets"/>
        <w:numPr>
          <w:ilvl w:val="0"/>
          <w:numId w:val="43"/>
        </w:numPr>
      </w:pPr>
      <w:r w:rsidRPr="00C45A12">
        <w:rPr>
          <w:b/>
          <w:bCs/>
        </w:rPr>
        <w:t>Physical abuse</w:t>
      </w:r>
      <w:r w:rsidRPr="00C45A12">
        <w:t xml:space="preserve"> – attempted assault which did not result in physical harm.</w:t>
      </w:r>
    </w:p>
    <w:p w14:paraId="42E5F6EF" w14:textId="77777777" w:rsidR="00C45A12" w:rsidRPr="00C45A12" w:rsidRDefault="00C45A12" w:rsidP="00D33E80">
      <w:pPr>
        <w:pStyle w:val="TSB-PolicyBullets"/>
        <w:numPr>
          <w:ilvl w:val="0"/>
          <w:numId w:val="43"/>
        </w:numPr>
      </w:pPr>
      <w:r w:rsidRPr="00C45A12">
        <w:rPr>
          <w:b/>
          <w:bCs/>
        </w:rPr>
        <w:t>Sexual assault</w:t>
      </w:r>
      <w:r w:rsidRPr="00C45A12">
        <w:t xml:space="preserve"> – sexual assault resulting in physical harm such as bruising, cuts/lacerations, or more serious injury. </w:t>
      </w:r>
    </w:p>
    <w:p w14:paraId="0B3F0166" w14:textId="77777777" w:rsidR="00C45A12" w:rsidRPr="00C45A12" w:rsidRDefault="00C45A12" w:rsidP="00D33E80">
      <w:pPr>
        <w:pStyle w:val="TSB-PolicyBullets"/>
        <w:numPr>
          <w:ilvl w:val="0"/>
          <w:numId w:val="43"/>
        </w:numPr>
      </w:pPr>
      <w:r w:rsidRPr="00C45A12">
        <w:rPr>
          <w:b/>
          <w:bCs/>
        </w:rPr>
        <w:t>Sexual abuse</w:t>
      </w:r>
      <w:r w:rsidRPr="00C45A12">
        <w:t xml:space="preserve"> – inappropriate sexual behaviour not resulting in physical harm.</w:t>
      </w:r>
    </w:p>
    <w:p w14:paraId="0B255FFA" w14:textId="77777777" w:rsidR="00C45A12" w:rsidRDefault="00C45A12" w:rsidP="00D33E80">
      <w:pPr>
        <w:pStyle w:val="TSB-PolicyBullets"/>
        <w:numPr>
          <w:ilvl w:val="0"/>
          <w:numId w:val="43"/>
        </w:numPr>
      </w:pPr>
      <w:r w:rsidRPr="00C45A12">
        <w:rPr>
          <w:b/>
          <w:bCs/>
        </w:rPr>
        <w:t>Property damage or theft</w:t>
      </w:r>
      <w:r w:rsidRPr="00C45A12">
        <w:t xml:space="preserve"> – damage to, or theft of, the employee’s personal property. </w:t>
      </w:r>
    </w:p>
    <w:p w14:paraId="425FA7AB" w14:textId="77777777" w:rsidR="009E1D70" w:rsidRDefault="009E1D70" w:rsidP="00A815AC">
      <w:pPr>
        <w:pStyle w:val="TSB-PolicyBullets"/>
      </w:pPr>
    </w:p>
    <w:p w14:paraId="33DFBCF5" w14:textId="5DB5B56A" w:rsidR="00A815AC" w:rsidRDefault="00A815AC" w:rsidP="00A815AC">
      <w:pPr>
        <w:pStyle w:val="TSB-PolicyBullets"/>
      </w:pPr>
      <w:r>
        <w:t>The effects of being threatened or abused vary, violence can cause pain, suffering and even disability or death. Physical attacks are obviously dangerous but serious or persistent verbal abuse or threats can also damage employee</w:t>
      </w:r>
      <w:r w:rsidR="009E1D70">
        <w:t>’</w:t>
      </w:r>
      <w:r>
        <w:t>s health and well-being through anxiety or stress.</w:t>
      </w:r>
    </w:p>
    <w:p w14:paraId="2960D341" w14:textId="77777777" w:rsidR="00474430" w:rsidRDefault="00474430" w:rsidP="00A815AC">
      <w:pPr>
        <w:pStyle w:val="TSB-PolicyBullets"/>
      </w:pPr>
    </w:p>
    <w:p w14:paraId="02952CB3" w14:textId="77777777" w:rsidR="00474430" w:rsidRPr="00474430" w:rsidRDefault="00474430" w:rsidP="00474430">
      <w:pPr>
        <w:rPr>
          <w:color w:val="auto"/>
          <w:sz w:val="22"/>
        </w:rPr>
      </w:pPr>
      <w:r w:rsidRPr="00474430">
        <w:rPr>
          <w:color w:val="auto"/>
          <w:sz w:val="22"/>
        </w:rPr>
        <w:t xml:space="preserve">Types of behaviour that are considered unacceptable and will not be tolerated: </w:t>
      </w:r>
    </w:p>
    <w:p w14:paraId="2FE07877"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Shouting at members of the school staff, either in person or over the telephone</w:t>
      </w:r>
    </w:p>
    <w:p w14:paraId="517A31DE" w14:textId="608F7F18" w:rsidR="00474430" w:rsidRPr="00474430" w:rsidRDefault="00474430" w:rsidP="00474430">
      <w:pPr>
        <w:pStyle w:val="ListParagraph"/>
        <w:numPr>
          <w:ilvl w:val="0"/>
          <w:numId w:val="47"/>
        </w:numPr>
        <w:spacing w:after="0" w:line="248" w:lineRule="auto"/>
        <w:jc w:val="both"/>
        <w:rPr>
          <w:color w:val="auto"/>
          <w:sz w:val="22"/>
        </w:rPr>
      </w:pPr>
      <w:r w:rsidRPr="00474430">
        <w:rPr>
          <w:color w:val="auto"/>
          <w:sz w:val="22"/>
        </w:rPr>
        <w:t xml:space="preserve">Physically intimidating a member of staff, </w:t>
      </w:r>
      <w:proofErr w:type="gramStart"/>
      <w:r w:rsidRPr="00474430">
        <w:rPr>
          <w:color w:val="auto"/>
          <w:sz w:val="22"/>
        </w:rPr>
        <w:t>e.g.</w:t>
      </w:r>
      <w:proofErr w:type="gramEnd"/>
      <w:r w:rsidRPr="00474430">
        <w:rPr>
          <w:color w:val="auto"/>
          <w:sz w:val="22"/>
        </w:rPr>
        <w:t xml:space="preserve"> standing very close to </w:t>
      </w:r>
      <w:r w:rsidR="005D00DD">
        <w:rPr>
          <w:color w:val="auto"/>
          <w:sz w:val="22"/>
        </w:rPr>
        <w:t>them</w:t>
      </w:r>
      <w:r w:rsidRPr="00474430">
        <w:rPr>
          <w:color w:val="auto"/>
          <w:sz w:val="22"/>
        </w:rPr>
        <w:t xml:space="preserve"> </w:t>
      </w:r>
    </w:p>
    <w:p w14:paraId="57D7EAD0"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The use of aggressive hand gestures </w:t>
      </w:r>
    </w:p>
    <w:p w14:paraId="11580D40"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Threatening behaviour </w:t>
      </w:r>
    </w:p>
    <w:p w14:paraId="7A010200"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Shaking or holding a fist or finger towards another person </w:t>
      </w:r>
    </w:p>
    <w:p w14:paraId="13B6AB38"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Swearing </w:t>
      </w:r>
    </w:p>
    <w:p w14:paraId="61D34880"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Pushing </w:t>
      </w:r>
    </w:p>
    <w:p w14:paraId="01914972"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Hitting, </w:t>
      </w:r>
      <w:proofErr w:type="gramStart"/>
      <w:r w:rsidRPr="00474430">
        <w:rPr>
          <w:color w:val="auto"/>
          <w:sz w:val="22"/>
        </w:rPr>
        <w:t>e.g.</w:t>
      </w:r>
      <w:proofErr w:type="gramEnd"/>
      <w:r w:rsidRPr="00474430">
        <w:rPr>
          <w:color w:val="auto"/>
          <w:sz w:val="22"/>
        </w:rPr>
        <w:t xml:space="preserve"> slapping, punching and kicking </w:t>
      </w:r>
    </w:p>
    <w:p w14:paraId="3DBB3FF4"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Spitting </w:t>
      </w:r>
    </w:p>
    <w:p w14:paraId="53914D8E"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Racist or sexist comments </w:t>
      </w:r>
    </w:p>
    <w:p w14:paraId="085924B2"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Breaching the school’s security procedures </w:t>
      </w:r>
    </w:p>
    <w:p w14:paraId="5EE1678D"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 xml:space="preserve">Aggressive and threatening phone calls or emails. </w:t>
      </w:r>
    </w:p>
    <w:p w14:paraId="084E707B" w14:textId="77777777" w:rsidR="00474430" w:rsidRPr="00474430" w:rsidRDefault="00474430" w:rsidP="00474430">
      <w:pPr>
        <w:pStyle w:val="ListParagraph"/>
        <w:numPr>
          <w:ilvl w:val="1"/>
          <w:numId w:val="46"/>
        </w:numPr>
        <w:spacing w:after="0" w:line="248" w:lineRule="auto"/>
        <w:jc w:val="both"/>
        <w:rPr>
          <w:color w:val="auto"/>
          <w:sz w:val="22"/>
        </w:rPr>
      </w:pPr>
      <w:r w:rsidRPr="00474430">
        <w:rPr>
          <w:color w:val="auto"/>
          <w:sz w:val="22"/>
        </w:rPr>
        <w:t>Aggressive or threatening behaviour towards staff or their families via social media.</w:t>
      </w:r>
    </w:p>
    <w:p w14:paraId="443DD382" w14:textId="77777777" w:rsidR="00474430" w:rsidRPr="00474430" w:rsidRDefault="00474430" w:rsidP="00474430">
      <w:pPr>
        <w:pStyle w:val="ListParagraph"/>
        <w:spacing w:after="0"/>
        <w:ind w:left="1440" w:firstLine="0"/>
        <w:rPr>
          <w:color w:val="auto"/>
          <w:sz w:val="22"/>
        </w:rPr>
      </w:pPr>
    </w:p>
    <w:p w14:paraId="12E7FE3E" w14:textId="77777777" w:rsidR="00474430" w:rsidRPr="009E1D70" w:rsidRDefault="00474430" w:rsidP="00474430">
      <w:pPr>
        <w:ind w:left="0" w:firstLine="0"/>
        <w:rPr>
          <w:iCs/>
          <w:color w:val="auto"/>
          <w:sz w:val="22"/>
        </w:rPr>
      </w:pPr>
      <w:r w:rsidRPr="009E1D70">
        <w:rPr>
          <w:iCs/>
          <w:color w:val="auto"/>
          <w:sz w:val="22"/>
        </w:rPr>
        <w:t xml:space="preserve">This is not an exhaustive list but seeks to provide illustrations of such behaviour. </w:t>
      </w:r>
    </w:p>
    <w:p w14:paraId="69114618" w14:textId="77777777" w:rsidR="00474430" w:rsidRDefault="00474430" w:rsidP="00474430">
      <w:pPr>
        <w:ind w:left="0" w:firstLine="0"/>
        <w:rPr>
          <w:i/>
          <w:color w:val="auto"/>
          <w:sz w:val="22"/>
        </w:rPr>
      </w:pPr>
    </w:p>
    <w:p w14:paraId="56BB020D" w14:textId="77777777" w:rsidR="00BE4F9B" w:rsidRPr="00BE4F9B" w:rsidRDefault="00BE4F9B" w:rsidP="00C45A12">
      <w:pPr>
        <w:ind w:left="0" w:firstLine="0"/>
        <w:rPr>
          <w:b/>
        </w:rPr>
      </w:pPr>
      <w:r w:rsidRPr="00BE4F9B">
        <w:rPr>
          <w:b/>
        </w:rPr>
        <w:t xml:space="preserve">Roles and responsibilities </w:t>
      </w:r>
    </w:p>
    <w:p w14:paraId="48FC5547" w14:textId="2A528FB0" w:rsidR="00C45A12" w:rsidRDefault="00C45A12" w:rsidP="00C45A12">
      <w:pPr>
        <w:pStyle w:val="TSB-PolicyBullets"/>
        <w:rPr>
          <w:b/>
        </w:rPr>
      </w:pPr>
      <w:r w:rsidRPr="00C45A12">
        <w:rPr>
          <w:b/>
        </w:rPr>
        <w:t xml:space="preserve">The </w:t>
      </w:r>
      <w:r w:rsidRPr="00622B5A">
        <w:rPr>
          <w:b/>
        </w:rPr>
        <w:t xml:space="preserve">JMAT Board of </w:t>
      </w:r>
      <w:r w:rsidR="003810C1">
        <w:rPr>
          <w:b/>
        </w:rPr>
        <w:t xml:space="preserve">Trustees </w:t>
      </w:r>
      <w:r w:rsidRPr="00C45A12">
        <w:rPr>
          <w:b/>
        </w:rPr>
        <w:t xml:space="preserve">will: </w:t>
      </w:r>
    </w:p>
    <w:p w14:paraId="22E980F6" w14:textId="77777777" w:rsidR="009E1D70" w:rsidRPr="00C45A12" w:rsidRDefault="009E1D70" w:rsidP="00C45A12">
      <w:pPr>
        <w:pStyle w:val="TSB-PolicyBullets"/>
        <w:rPr>
          <w:b/>
        </w:rPr>
      </w:pPr>
    </w:p>
    <w:p w14:paraId="13606108" w14:textId="4A4CD152" w:rsidR="00C45A12" w:rsidRPr="00C45A12" w:rsidRDefault="00C45A12" w:rsidP="00C45A12">
      <w:pPr>
        <w:pStyle w:val="TSB-PolicyBullets"/>
        <w:numPr>
          <w:ilvl w:val="0"/>
          <w:numId w:val="32"/>
        </w:numPr>
      </w:pPr>
      <w:r w:rsidRPr="00C45A12">
        <w:t xml:space="preserve">Acknowledge its legal duty of care towards school staff and </w:t>
      </w:r>
      <w:r w:rsidR="005D00DD">
        <w:t>children</w:t>
      </w:r>
      <w:r w:rsidRPr="00C45A12">
        <w:t xml:space="preserve"> and its </w:t>
      </w:r>
      <w:r w:rsidR="00D33E80">
        <w:t xml:space="preserve">responsibility to ensure each </w:t>
      </w:r>
      <w:r w:rsidR="00B909FB">
        <w:t xml:space="preserve">JMAT </w:t>
      </w:r>
      <w:r w:rsidRPr="00C45A12">
        <w:t xml:space="preserve">school is a place where both staff and </w:t>
      </w:r>
      <w:r w:rsidR="005D00DD">
        <w:t>children</w:t>
      </w:r>
      <w:r w:rsidRPr="00C45A12">
        <w:t xml:space="preserve"> are safe from violence or aggression. </w:t>
      </w:r>
    </w:p>
    <w:p w14:paraId="73773A62" w14:textId="77777777" w:rsidR="00C45A12" w:rsidRPr="00C45A12" w:rsidRDefault="00C45A12" w:rsidP="00C45A12">
      <w:pPr>
        <w:pStyle w:val="TSB-PolicyBullets"/>
        <w:numPr>
          <w:ilvl w:val="0"/>
          <w:numId w:val="32"/>
        </w:numPr>
      </w:pPr>
      <w:r w:rsidRPr="00C45A12">
        <w:t xml:space="preserve">Ensure the health, safety and welfare of all staff in </w:t>
      </w:r>
      <w:r w:rsidR="00B909FB">
        <w:t xml:space="preserve">JMAT </w:t>
      </w:r>
      <w:r w:rsidRPr="00C45A12">
        <w:t>school</w:t>
      </w:r>
      <w:r w:rsidR="00B909FB">
        <w:t>s</w:t>
      </w:r>
      <w:r w:rsidRPr="00C45A12">
        <w:t>.</w:t>
      </w:r>
    </w:p>
    <w:p w14:paraId="4007B092" w14:textId="77777777" w:rsidR="00C45A12" w:rsidRPr="00C45A12" w:rsidRDefault="00C45A12" w:rsidP="00C45A12">
      <w:pPr>
        <w:pStyle w:val="TSB-PolicyBullets"/>
        <w:numPr>
          <w:ilvl w:val="0"/>
          <w:numId w:val="32"/>
        </w:numPr>
      </w:pPr>
      <w:r w:rsidRPr="00C45A12">
        <w:t xml:space="preserve">Ensure all staff likely to be affected are informed, through the </w:t>
      </w:r>
      <w:r w:rsidRPr="00C45A12">
        <w:rPr>
          <w:bCs/>
        </w:rPr>
        <w:t>headteacher</w:t>
      </w:r>
      <w:r w:rsidRPr="00C45A12">
        <w:t xml:space="preserve">, of any circumstances which are likely to carry a risk of violent or aggressive behaviour. </w:t>
      </w:r>
    </w:p>
    <w:p w14:paraId="020DAB55" w14:textId="77777777" w:rsidR="00C45A12" w:rsidRPr="00C45A12" w:rsidRDefault="00C45A12" w:rsidP="00C45A12">
      <w:pPr>
        <w:pStyle w:val="TSB-PolicyBullets"/>
        <w:numPr>
          <w:ilvl w:val="0"/>
          <w:numId w:val="32"/>
        </w:numPr>
      </w:pPr>
      <w:r w:rsidRPr="00C45A12">
        <w:t>Authorise appropriate members of staff to exclude persons behaving inappropriately from the school premises, under Section 40 of the Local Government (Miscellaneous Provisions) Act 1982.</w:t>
      </w:r>
    </w:p>
    <w:p w14:paraId="61728AA2" w14:textId="77777777" w:rsidR="00C45A12" w:rsidRPr="00C45A12" w:rsidRDefault="00C45A12" w:rsidP="00C45A12">
      <w:pPr>
        <w:pStyle w:val="TSB-PolicyBullets"/>
        <w:numPr>
          <w:ilvl w:val="0"/>
          <w:numId w:val="32"/>
        </w:numPr>
      </w:pPr>
      <w:r w:rsidRPr="00C45A12">
        <w:t xml:space="preserve">Maintain a continuing programme of risk assessments of violence towards staff, in close consultation with the </w:t>
      </w:r>
      <w:r w:rsidRPr="00C45A12">
        <w:rPr>
          <w:bCs/>
        </w:rPr>
        <w:t>headteacher</w:t>
      </w:r>
      <w:r w:rsidRPr="00C45A12">
        <w:t>, and ensure identified risks are mitigated where possible.</w:t>
      </w:r>
    </w:p>
    <w:p w14:paraId="023D4FE2" w14:textId="77777777" w:rsidR="00C45A12" w:rsidRPr="00C45A12" w:rsidRDefault="00C45A12" w:rsidP="00C45A12">
      <w:pPr>
        <w:pStyle w:val="TSB-PolicyBullets"/>
        <w:numPr>
          <w:ilvl w:val="0"/>
          <w:numId w:val="32"/>
        </w:numPr>
      </w:pPr>
      <w:r w:rsidRPr="00C45A12">
        <w:t>Consult with staff and their representatives about risk assessments and actions arising from them.</w:t>
      </w:r>
    </w:p>
    <w:p w14:paraId="052E5238" w14:textId="77777777" w:rsidR="00C45A12" w:rsidRDefault="00C45A12" w:rsidP="00C45A12">
      <w:pPr>
        <w:pStyle w:val="TSB-PolicyBullets"/>
      </w:pPr>
    </w:p>
    <w:p w14:paraId="2A82A913" w14:textId="77777777" w:rsidR="00B53952" w:rsidRDefault="00B53952" w:rsidP="00C45A12">
      <w:pPr>
        <w:pStyle w:val="TSB-PolicyBullets"/>
        <w:rPr>
          <w:b/>
        </w:rPr>
      </w:pPr>
    </w:p>
    <w:p w14:paraId="719D0562" w14:textId="77777777" w:rsidR="00B53952" w:rsidRDefault="00B53952" w:rsidP="00C45A12">
      <w:pPr>
        <w:pStyle w:val="TSB-PolicyBullets"/>
        <w:rPr>
          <w:b/>
        </w:rPr>
      </w:pPr>
    </w:p>
    <w:p w14:paraId="2FE46562" w14:textId="77777777" w:rsidR="00B53952" w:rsidRDefault="00B53952" w:rsidP="00C45A12">
      <w:pPr>
        <w:pStyle w:val="TSB-PolicyBullets"/>
        <w:rPr>
          <w:b/>
        </w:rPr>
      </w:pPr>
    </w:p>
    <w:p w14:paraId="5D14DBE7" w14:textId="6A107928" w:rsidR="00C45A12" w:rsidRDefault="00C45A12" w:rsidP="00C45A12">
      <w:pPr>
        <w:pStyle w:val="TSB-PolicyBullets"/>
      </w:pPr>
      <w:r w:rsidRPr="00B909FB">
        <w:rPr>
          <w:b/>
        </w:rPr>
        <w:lastRenderedPageBreak/>
        <w:t xml:space="preserve">The </w:t>
      </w:r>
      <w:r w:rsidRPr="00B909FB">
        <w:rPr>
          <w:b/>
          <w:bCs/>
        </w:rPr>
        <w:t>headteacher</w:t>
      </w:r>
      <w:r w:rsidRPr="00B909FB">
        <w:rPr>
          <w:b/>
        </w:rPr>
        <w:t xml:space="preserve"> will</w:t>
      </w:r>
      <w:r w:rsidRPr="00C45A12">
        <w:t xml:space="preserve">: </w:t>
      </w:r>
    </w:p>
    <w:p w14:paraId="1504ECEB" w14:textId="77777777" w:rsidR="009E1D70" w:rsidRPr="00C45A12" w:rsidRDefault="009E1D70" w:rsidP="00C45A12">
      <w:pPr>
        <w:pStyle w:val="TSB-PolicyBullets"/>
      </w:pPr>
    </w:p>
    <w:p w14:paraId="0445082D" w14:textId="3C5F1AF2" w:rsidR="00C45A12" w:rsidRPr="00C45A12" w:rsidRDefault="00C45A12" w:rsidP="00B909FB">
      <w:pPr>
        <w:pStyle w:val="TSB-PolicyBullets"/>
        <w:numPr>
          <w:ilvl w:val="0"/>
          <w:numId w:val="33"/>
        </w:numPr>
      </w:pPr>
      <w:r w:rsidRPr="00C45A12">
        <w:t xml:space="preserve">Report the outcome of the risk assessment of violence towards staff to the </w:t>
      </w:r>
      <w:r w:rsidR="00B909FB">
        <w:rPr>
          <w:bCs/>
        </w:rPr>
        <w:t>LGB</w:t>
      </w:r>
      <w:r w:rsidR="00D33E80">
        <w:rPr>
          <w:bCs/>
        </w:rPr>
        <w:t xml:space="preserve"> as required</w:t>
      </w:r>
      <w:r w:rsidRPr="00C45A12">
        <w:t xml:space="preserve"> </w:t>
      </w:r>
      <w:r w:rsidR="003810C1">
        <w:t>and the level of incidences.</w:t>
      </w:r>
    </w:p>
    <w:p w14:paraId="675753AD" w14:textId="77777777" w:rsidR="00C45A12" w:rsidRPr="00C45A12" w:rsidRDefault="00C45A12" w:rsidP="00B909FB">
      <w:pPr>
        <w:pStyle w:val="TSB-PolicyBullets"/>
        <w:numPr>
          <w:ilvl w:val="0"/>
          <w:numId w:val="33"/>
        </w:numPr>
      </w:pPr>
      <w:r w:rsidRPr="00C45A12">
        <w:t xml:space="preserve">Ensure that all staff have read and understood this policy. </w:t>
      </w:r>
    </w:p>
    <w:p w14:paraId="1C320FEE" w14:textId="77777777" w:rsidR="00B909FB" w:rsidRPr="00C45A12" w:rsidRDefault="00B909FB" w:rsidP="00B909FB">
      <w:pPr>
        <w:pStyle w:val="TSB-PolicyBullets"/>
        <w:numPr>
          <w:ilvl w:val="0"/>
          <w:numId w:val="32"/>
        </w:numPr>
      </w:pPr>
      <w:r w:rsidRPr="00C45A12">
        <w:t xml:space="preserve">Oversee the implementation of this policy. </w:t>
      </w:r>
    </w:p>
    <w:p w14:paraId="4799EF82" w14:textId="77777777" w:rsidR="00C45A12" w:rsidRPr="00C45A12" w:rsidRDefault="00C45A12" w:rsidP="00B909FB">
      <w:pPr>
        <w:pStyle w:val="TSB-PolicyBullets"/>
        <w:numPr>
          <w:ilvl w:val="0"/>
          <w:numId w:val="32"/>
        </w:numPr>
      </w:pPr>
      <w:r w:rsidRPr="00C45A12">
        <w:t xml:space="preserve">Support victims and alleged perpetrators where necessary. </w:t>
      </w:r>
    </w:p>
    <w:p w14:paraId="77862417" w14:textId="77777777" w:rsidR="00C45A12" w:rsidRPr="00C45A12" w:rsidRDefault="00B909FB" w:rsidP="00B909FB">
      <w:pPr>
        <w:pStyle w:val="TSB-PolicyBullets"/>
        <w:numPr>
          <w:ilvl w:val="0"/>
          <w:numId w:val="32"/>
        </w:numPr>
      </w:pPr>
      <w:r>
        <w:t>T</w:t>
      </w:r>
      <w:r w:rsidR="00C45A12" w:rsidRPr="00C45A12">
        <w:t xml:space="preserve">ake a zero-tolerance stance towards violence in the workplace and make clear what support is available to victims of violence or harassment. </w:t>
      </w:r>
    </w:p>
    <w:p w14:paraId="70238CB3" w14:textId="77777777" w:rsidR="00C45A12" w:rsidRDefault="00C45A12" w:rsidP="00C45A12">
      <w:pPr>
        <w:pStyle w:val="TSB-PolicyBullets"/>
      </w:pPr>
    </w:p>
    <w:p w14:paraId="50E6136F" w14:textId="2EAAD508" w:rsidR="009E1D70" w:rsidRDefault="00C45A12" w:rsidP="00C45A12">
      <w:pPr>
        <w:pStyle w:val="TSB-PolicyBullets"/>
        <w:rPr>
          <w:b/>
        </w:rPr>
      </w:pPr>
      <w:r w:rsidRPr="00B909FB">
        <w:rPr>
          <w:b/>
        </w:rPr>
        <w:t>All members of staff will:</w:t>
      </w:r>
    </w:p>
    <w:p w14:paraId="6ABB6BDF" w14:textId="77777777" w:rsidR="00E025CA" w:rsidRPr="00B909FB" w:rsidRDefault="00E025CA" w:rsidP="00C45A12">
      <w:pPr>
        <w:pStyle w:val="TSB-PolicyBullets"/>
        <w:rPr>
          <w:b/>
        </w:rPr>
      </w:pPr>
    </w:p>
    <w:p w14:paraId="1E529122" w14:textId="77777777" w:rsidR="00C45A12" w:rsidRPr="00C45A12" w:rsidRDefault="00C45A12" w:rsidP="00B909FB">
      <w:pPr>
        <w:pStyle w:val="TSB-PolicyBullets"/>
        <w:numPr>
          <w:ilvl w:val="0"/>
          <w:numId w:val="34"/>
        </w:numPr>
      </w:pPr>
      <w:r w:rsidRPr="00C45A12">
        <w:t xml:space="preserve">Follow the procedures for preventing, dealing with, and recording and reporting incidents. </w:t>
      </w:r>
    </w:p>
    <w:p w14:paraId="60968EC8" w14:textId="77777777" w:rsidR="00C45A12" w:rsidRPr="00C45A12" w:rsidRDefault="00C45A12" w:rsidP="00B909FB">
      <w:pPr>
        <w:pStyle w:val="TSB-PolicyBullets"/>
        <w:numPr>
          <w:ilvl w:val="0"/>
          <w:numId w:val="34"/>
        </w:numPr>
      </w:pPr>
      <w:r w:rsidRPr="00C45A12">
        <w:t xml:space="preserve">Report every instance of probable violence and aggression, and any hazards, risks or problems, to the </w:t>
      </w:r>
      <w:r w:rsidRPr="00C45A12">
        <w:rPr>
          <w:bCs/>
        </w:rPr>
        <w:t>headteacher</w:t>
      </w:r>
      <w:r w:rsidRPr="00C45A12">
        <w:t xml:space="preserve">. </w:t>
      </w:r>
    </w:p>
    <w:p w14:paraId="0AF068CC" w14:textId="77777777" w:rsidR="00C45A12" w:rsidRDefault="00C45A12" w:rsidP="00B909FB">
      <w:pPr>
        <w:pStyle w:val="TSB-PolicyBullets"/>
        <w:numPr>
          <w:ilvl w:val="0"/>
          <w:numId w:val="34"/>
        </w:numPr>
      </w:pPr>
      <w:r w:rsidRPr="00C45A12">
        <w:t xml:space="preserve">Assess the risk to themselves in each situation and do their utmost to ensure their own safety. </w:t>
      </w:r>
    </w:p>
    <w:p w14:paraId="43F1214B" w14:textId="77777777" w:rsidR="00476663" w:rsidRDefault="00476663" w:rsidP="00B909FB">
      <w:pPr>
        <w:pStyle w:val="TSB-PolicyBullets"/>
        <w:numPr>
          <w:ilvl w:val="0"/>
          <w:numId w:val="34"/>
        </w:numPr>
      </w:pPr>
      <w:r>
        <w:t>Attend training courses and events as required</w:t>
      </w:r>
    </w:p>
    <w:p w14:paraId="14970328" w14:textId="2EF4E99F" w:rsidR="00476663" w:rsidRPr="00C45A12" w:rsidRDefault="00476663" w:rsidP="00B909FB">
      <w:pPr>
        <w:pStyle w:val="TSB-PolicyBullets"/>
        <w:numPr>
          <w:ilvl w:val="0"/>
          <w:numId w:val="34"/>
        </w:numPr>
      </w:pPr>
      <w:r>
        <w:t xml:space="preserve">Act reasonably and professionally and conduct </w:t>
      </w:r>
      <w:r w:rsidR="005D00DD">
        <w:t>themselves</w:t>
      </w:r>
      <w:r>
        <w:t xml:space="preserve"> in an appropriate manner in the course of their employment.</w:t>
      </w:r>
    </w:p>
    <w:p w14:paraId="0060BEE5" w14:textId="76FE7547" w:rsidR="00C45A12" w:rsidRDefault="00C45A12" w:rsidP="00B909FB">
      <w:pPr>
        <w:pStyle w:val="TSB-PolicyBullets"/>
        <w:numPr>
          <w:ilvl w:val="0"/>
          <w:numId w:val="34"/>
        </w:numPr>
      </w:pPr>
      <w:r w:rsidRPr="00C45A12">
        <w:t xml:space="preserve">Keep evidence of any harassment or violence directed towards them and report incidents without hesitation to the </w:t>
      </w:r>
      <w:r w:rsidR="008B79DD">
        <w:rPr>
          <w:bCs/>
        </w:rPr>
        <w:t>h</w:t>
      </w:r>
      <w:r w:rsidRPr="00C45A12">
        <w:rPr>
          <w:bCs/>
        </w:rPr>
        <w:t>eadteacher</w:t>
      </w:r>
      <w:r w:rsidRPr="00C45A12">
        <w:t xml:space="preserve">, or (if the report is against the </w:t>
      </w:r>
      <w:r w:rsidR="008B79DD">
        <w:t>H</w:t>
      </w:r>
      <w:r w:rsidRPr="00C45A12">
        <w:t xml:space="preserve">eadteacher) to the </w:t>
      </w:r>
      <w:r w:rsidR="00B909FB">
        <w:rPr>
          <w:bCs/>
        </w:rPr>
        <w:t>LGB</w:t>
      </w:r>
      <w:r w:rsidRPr="00C45A12">
        <w:t xml:space="preserve"> </w:t>
      </w:r>
    </w:p>
    <w:p w14:paraId="7E540A47" w14:textId="77777777" w:rsidR="009E1D70" w:rsidRPr="009E1D70" w:rsidRDefault="009E1D70" w:rsidP="00474430">
      <w:pPr>
        <w:pStyle w:val="TSB-PolicyBullets"/>
        <w:rPr>
          <w:iCs/>
        </w:rPr>
      </w:pPr>
    </w:p>
    <w:p w14:paraId="1A8814DC" w14:textId="1EFD813F" w:rsidR="00474430" w:rsidRPr="009E1D70" w:rsidRDefault="00474430" w:rsidP="00474430">
      <w:pPr>
        <w:pStyle w:val="TSB-PolicyBullets"/>
        <w:rPr>
          <w:iCs/>
        </w:rPr>
      </w:pPr>
      <w:r w:rsidRPr="009E1D70">
        <w:rPr>
          <w:iCs/>
        </w:rPr>
        <w:t>Staff should always take steps to minimise the possibility of violence in the school.  Parents who are known to be violent or aggressive should never be seen by staff unless another adult is present</w:t>
      </w:r>
    </w:p>
    <w:p w14:paraId="71950234" w14:textId="77777777" w:rsidR="00476663" w:rsidRPr="00C45A12" w:rsidRDefault="00476663" w:rsidP="00476663">
      <w:pPr>
        <w:pStyle w:val="TSB-PolicyBullets"/>
        <w:ind w:left="720"/>
      </w:pPr>
    </w:p>
    <w:p w14:paraId="34CDD3BD" w14:textId="77777777" w:rsidR="00B909FB" w:rsidRPr="00B909FB" w:rsidRDefault="00B909FB" w:rsidP="00A92E24">
      <w:pPr>
        <w:pStyle w:val="Heading1"/>
        <w:keepNext w:val="0"/>
        <w:keepLines w:val="0"/>
        <w:spacing w:line="276" w:lineRule="auto"/>
        <w:ind w:left="0" w:firstLine="0"/>
        <w:contextualSpacing/>
        <w:jc w:val="both"/>
        <w:rPr>
          <w:color w:val="auto"/>
          <w:sz w:val="24"/>
          <w:szCs w:val="24"/>
        </w:rPr>
      </w:pPr>
      <w:r w:rsidRPr="00B909FB">
        <w:rPr>
          <w:color w:val="auto"/>
          <w:sz w:val="24"/>
          <w:szCs w:val="24"/>
        </w:rPr>
        <w:t>Preventing incidents</w:t>
      </w:r>
    </w:p>
    <w:p w14:paraId="5740C410" w14:textId="5682F06C" w:rsidR="00B909FB" w:rsidRPr="00ED71E4" w:rsidRDefault="00B909FB" w:rsidP="00A92E24">
      <w:pPr>
        <w:pStyle w:val="TSB-Level1Numbers"/>
        <w:spacing w:after="0"/>
        <w:ind w:left="0" w:firstLine="0"/>
        <w:rPr>
          <w:color w:val="FF0000"/>
          <w:szCs w:val="22"/>
        </w:rPr>
      </w:pPr>
      <w:r w:rsidRPr="00B909FB">
        <w:rPr>
          <w:szCs w:val="22"/>
        </w:rPr>
        <w:t xml:space="preserve">The risk assessment of violence towards staff will be reviewed </w:t>
      </w:r>
      <w:r w:rsidRPr="00B909FB">
        <w:rPr>
          <w:bCs/>
          <w:szCs w:val="22"/>
        </w:rPr>
        <w:t>annually</w:t>
      </w:r>
      <w:r w:rsidRPr="00B909FB">
        <w:rPr>
          <w:szCs w:val="22"/>
        </w:rPr>
        <w:t xml:space="preserve"> by the </w:t>
      </w:r>
      <w:r w:rsidR="008B79DD">
        <w:rPr>
          <w:bCs/>
          <w:szCs w:val="22"/>
        </w:rPr>
        <w:t>H</w:t>
      </w:r>
      <w:r w:rsidRPr="00B909FB">
        <w:rPr>
          <w:bCs/>
          <w:szCs w:val="22"/>
        </w:rPr>
        <w:t>eadteacher</w:t>
      </w:r>
      <w:r w:rsidR="003810C1">
        <w:rPr>
          <w:bCs/>
          <w:szCs w:val="22"/>
        </w:rPr>
        <w:t>.</w:t>
      </w:r>
      <w:r w:rsidR="00ED71E4">
        <w:rPr>
          <w:bCs/>
          <w:szCs w:val="22"/>
        </w:rPr>
        <w:t xml:space="preserve"> </w:t>
      </w:r>
      <w:r w:rsidR="00ED71E4" w:rsidRPr="00ED71E4">
        <w:rPr>
          <w:bCs/>
          <w:color w:val="FF0000"/>
          <w:szCs w:val="22"/>
        </w:rPr>
        <w:t>Staff will receive appropriate guidance and training in how to log an incident of violence to staff on R</w:t>
      </w:r>
      <w:r w:rsidR="00ED71E4">
        <w:rPr>
          <w:bCs/>
          <w:color w:val="FF0000"/>
          <w:szCs w:val="22"/>
        </w:rPr>
        <w:t>ecordM</w:t>
      </w:r>
      <w:r w:rsidR="00ED71E4" w:rsidRPr="00ED71E4">
        <w:rPr>
          <w:bCs/>
          <w:color w:val="FF0000"/>
          <w:szCs w:val="22"/>
        </w:rPr>
        <w:t>y.</w:t>
      </w:r>
      <w:r w:rsidRPr="00ED71E4">
        <w:rPr>
          <w:color w:val="FF0000"/>
          <w:szCs w:val="22"/>
          <w:shd w:val="clear" w:color="auto" w:fill="D9D9D9" w:themeFill="background1" w:themeFillShade="D9"/>
        </w:rPr>
        <w:t xml:space="preserve"> </w:t>
      </w:r>
    </w:p>
    <w:p w14:paraId="7937761D" w14:textId="77777777" w:rsidR="00A92E24" w:rsidRDefault="00A92E24" w:rsidP="00B909FB">
      <w:pPr>
        <w:pStyle w:val="Heading1"/>
        <w:keepNext w:val="0"/>
        <w:keepLines w:val="0"/>
        <w:spacing w:after="200" w:line="276" w:lineRule="auto"/>
        <w:ind w:left="0" w:firstLine="0"/>
        <w:contextualSpacing/>
        <w:jc w:val="both"/>
        <w:rPr>
          <w:color w:val="auto"/>
          <w:sz w:val="24"/>
          <w:szCs w:val="24"/>
        </w:rPr>
      </w:pPr>
      <w:bookmarkStart w:id="2" w:name="_Dealing_with_incidents"/>
      <w:bookmarkEnd w:id="2"/>
    </w:p>
    <w:p w14:paraId="6AAE81D0" w14:textId="1FF4463E" w:rsidR="00B909FB" w:rsidRPr="00B909FB" w:rsidRDefault="00B909FB" w:rsidP="00A92E24">
      <w:pPr>
        <w:pStyle w:val="Heading1"/>
        <w:keepNext w:val="0"/>
        <w:keepLines w:val="0"/>
        <w:spacing w:line="276" w:lineRule="auto"/>
        <w:ind w:left="0" w:firstLine="0"/>
        <w:contextualSpacing/>
        <w:jc w:val="both"/>
        <w:rPr>
          <w:color w:val="auto"/>
          <w:sz w:val="24"/>
          <w:szCs w:val="24"/>
        </w:rPr>
      </w:pPr>
      <w:r w:rsidRPr="00B909FB">
        <w:rPr>
          <w:color w:val="auto"/>
          <w:sz w:val="24"/>
          <w:szCs w:val="24"/>
        </w:rPr>
        <w:t>Dealing with incidents</w:t>
      </w:r>
    </w:p>
    <w:p w14:paraId="43B6E6E6" w14:textId="77777777" w:rsidR="00B909FB" w:rsidRPr="00B909FB" w:rsidRDefault="007031CE" w:rsidP="00A92E24">
      <w:pPr>
        <w:pStyle w:val="TSB-Level1Numbers"/>
        <w:spacing w:after="0"/>
        <w:ind w:left="0" w:firstLine="0"/>
        <w:rPr>
          <w:szCs w:val="22"/>
        </w:rPr>
      </w:pPr>
      <w:r>
        <w:t xml:space="preserve">Developing skills and techniques in how to defuse and de-escalate confrontation may be beneficial. </w:t>
      </w:r>
      <w:r w:rsidR="00B909FB" w:rsidRPr="00B909FB">
        <w:rPr>
          <w:szCs w:val="22"/>
        </w:rPr>
        <w:t xml:space="preserve">When dealing with an incident, staff are advised to employ the following strategies: </w:t>
      </w:r>
    </w:p>
    <w:p w14:paraId="5AC4D354" w14:textId="77777777" w:rsidR="007031CE" w:rsidRDefault="00B909FB" w:rsidP="00B909FB">
      <w:pPr>
        <w:pStyle w:val="PolicyBullets"/>
        <w:numPr>
          <w:ilvl w:val="0"/>
          <w:numId w:val="35"/>
        </w:numPr>
        <w:spacing w:after="120"/>
        <w:jc w:val="both"/>
        <w:rPr>
          <w:color w:val="auto"/>
          <w:sz w:val="22"/>
        </w:rPr>
      </w:pPr>
      <w:r w:rsidRPr="00B909FB">
        <w:rPr>
          <w:color w:val="auto"/>
          <w:sz w:val="22"/>
        </w:rPr>
        <w:t>Be assertive but not aggressive</w:t>
      </w:r>
      <w:r w:rsidR="007031CE">
        <w:rPr>
          <w:color w:val="auto"/>
          <w:sz w:val="22"/>
        </w:rPr>
        <w:t>, polite but firm</w:t>
      </w:r>
    </w:p>
    <w:p w14:paraId="4BEC2C2F" w14:textId="77777777" w:rsidR="00B909FB" w:rsidRPr="007031CE" w:rsidRDefault="007031CE" w:rsidP="00B909FB">
      <w:pPr>
        <w:pStyle w:val="PolicyBullets"/>
        <w:numPr>
          <w:ilvl w:val="0"/>
          <w:numId w:val="35"/>
        </w:numPr>
        <w:spacing w:after="120"/>
        <w:jc w:val="both"/>
        <w:rPr>
          <w:color w:val="auto"/>
          <w:sz w:val="22"/>
        </w:rPr>
      </w:pPr>
      <w:r>
        <w:rPr>
          <w:sz w:val="22"/>
        </w:rPr>
        <w:t>Avoid</w:t>
      </w:r>
      <w:r w:rsidRPr="007031CE">
        <w:rPr>
          <w:sz w:val="22"/>
        </w:rPr>
        <w:t xml:space="preserve"> confrontation in front of an audience. The fewer people that are involved in an incident, the easier for the aggressor t</w:t>
      </w:r>
      <w:r>
        <w:rPr>
          <w:sz w:val="22"/>
        </w:rPr>
        <w:t>o back down without losing face</w:t>
      </w:r>
    </w:p>
    <w:p w14:paraId="3E67EBC7" w14:textId="77777777" w:rsidR="00B909FB" w:rsidRPr="00B909FB" w:rsidRDefault="00B909FB" w:rsidP="00B909FB">
      <w:pPr>
        <w:pStyle w:val="PolicyBullets"/>
        <w:numPr>
          <w:ilvl w:val="0"/>
          <w:numId w:val="35"/>
        </w:numPr>
        <w:spacing w:after="120"/>
        <w:jc w:val="both"/>
        <w:rPr>
          <w:color w:val="auto"/>
          <w:sz w:val="22"/>
        </w:rPr>
      </w:pPr>
      <w:r w:rsidRPr="00B909FB">
        <w:rPr>
          <w:color w:val="auto"/>
          <w:sz w:val="22"/>
        </w:rPr>
        <w:t>Speak calmly without raising their voice</w:t>
      </w:r>
    </w:p>
    <w:p w14:paraId="33CD0FEE" w14:textId="77777777" w:rsidR="007031CE" w:rsidRPr="007031CE" w:rsidRDefault="00B909FB" w:rsidP="007031CE">
      <w:pPr>
        <w:pStyle w:val="PolicyBullets"/>
        <w:numPr>
          <w:ilvl w:val="0"/>
          <w:numId w:val="35"/>
        </w:numPr>
        <w:spacing w:after="120"/>
        <w:jc w:val="both"/>
        <w:rPr>
          <w:color w:val="auto"/>
          <w:sz w:val="22"/>
        </w:rPr>
      </w:pPr>
      <w:r w:rsidRPr="00B909FB">
        <w:rPr>
          <w:color w:val="auto"/>
          <w:sz w:val="22"/>
        </w:rPr>
        <w:t xml:space="preserve">Seek assistance </w:t>
      </w:r>
      <w:r w:rsidR="007031CE">
        <w:rPr>
          <w:sz w:val="22"/>
        </w:rPr>
        <w:t>– for example, ask</w:t>
      </w:r>
      <w:r w:rsidR="007031CE" w:rsidRPr="007031CE">
        <w:rPr>
          <w:sz w:val="22"/>
        </w:rPr>
        <w:t xml:space="preserve"> another, preferably senior member of staff</w:t>
      </w:r>
      <w:r w:rsidR="007031CE">
        <w:rPr>
          <w:sz w:val="22"/>
        </w:rPr>
        <w:t>,</w:t>
      </w:r>
      <w:r w:rsidR="007031CE" w:rsidRPr="007031CE">
        <w:rPr>
          <w:sz w:val="22"/>
        </w:rPr>
        <w:t xml:space="preserve"> to help talk things through with the aggressor</w:t>
      </w:r>
    </w:p>
    <w:p w14:paraId="5CE8E0BF" w14:textId="77777777" w:rsidR="007031CE" w:rsidRPr="007031CE" w:rsidRDefault="007031CE" w:rsidP="007031CE">
      <w:pPr>
        <w:pStyle w:val="PolicyBullets"/>
        <w:numPr>
          <w:ilvl w:val="0"/>
          <w:numId w:val="35"/>
        </w:numPr>
        <w:spacing w:after="120"/>
        <w:jc w:val="both"/>
        <w:rPr>
          <w:color w:val="auto"/>
          <w:sz w:val="22"/>
        </w:rPr>
      </w:pPr>
      <w:r>
        <w:rPr>
          <w:color w:val="auto"/>
          <w:sz w:val="22"/>
        </w:rPr>
        <w:t xml:space="preserve">Be </w:t>
      </w:r>
      <w:r w:rsidRPr="00B909FB">
        <w:rPr>
          <w:color w:val="auto"/>
          <w:sz w:val="22"/>
        </w:rPr>
        <w:t xml:space="preserve">mindful of body language </w:t>
      </w:r>
      <w:r>
        <w:rPr>
          <w:color w:val="auto"/>
          <w:sz w:val="22"/>
        </w:rPr>
        <w:t xml:space="preserve">- </w:t>
      </w:r>
      <w:r>
        <w:rPr>
          <w:sz w:val="22"/>
        </w:rPr>
        <w:t>a</w:t>
      </w:r>
      <w:r w:rsidRPr="007031CE">
        <w:rPr>
          <w:sz w:val="22"/>
        </w:rPr>
        <w:t>void aggressive body language such as hands on hips, wagging fingers, looking down on the aggressor</w:t>
      </w:r>
    </w:p>
    <w:p w14:paraId="6D02DD92" w14:textId="77777777" w:rsidR="00B909FB" w:rsidRPr="00B909FB" w:rsidRDefault="00B909FB" w:rsidP="00B909FB">
      <w:pPr>
        <w:pStyle w:val="PolicyBullets"/>
        <w:numPr>
          <w:ilvl w:val="0"/>
          <w:numId w:val="35"/>
        </w:numPr>
        <w:spacing w:after="120"/>
        <w:jc w:val="both"/>
        <w:rPr>
          <w:color w:val="auto"/>
          <w:sz w:val="22"/>
        </w:rPr>
      </w:pPr>
      <w:r w:rsidRPr="00B909FB">
        <w:rPr>
          <w:color w:val="auto"/>
          <w:sz w:val="22"/>
        </w:rPr>
        <w:t xml:space="preserve">Maintain a safe distance from the aggressor </w:t>
      </w:r>
    </w:p>
    <w:p w14:paraId="21FB103E" w14:textId="77777777" w:rsidR="00B909FB" w:rsidRPr="00B909FB" w:rsidRDefault="00B909FB" w:rsidP="00B909FB">
      <w:pPr>
        <w:pStyle w:val="PolicyBullets"/>
        <w:numPr>
          <w:ilvl w:val="0"/>
          <w:numId w:val="35"/>
        </w:numPr>
        <w:spacing w:after="120"/>
        <w:jc w:val="both"/>
        <w:rPr>
          <w:color w:val="auto"/>
          <w:sz w:val="22"/>
        </w:rPr>
      </w:pPr>
      <w:r w:rsidRPr="00B909FB">
        <w:rPr>
          <w:color w:val="auto"/>
          <w:sz w:val="22"/>
        </w:rPr>
        <w:t>Think of an escape route, should the need arise</w:t>
      </w:r>
    </w:p>
    <w:p w14:paraId="37AAEB12" w14:textId="77777777" w:rsidR="00B909FB" w:rsidRPr="007031CE" w:rsidRDefault="00B909FB" w:rsidP="00B909FB">
      <w:pPr>
        <w:pStyle w:val="PolicyBullets"/>
        <w:numPr>
          <w:ilvl w:val="0"/>
          <w:numId w:val="35"/>
        </w:numPr>
        <w:spacing w:after="120"/>
        <w:jc w:val="both"/>
        <w:rPr>
          <w:color w:val="auto"/>
          <w:sz w:val="22"/>
        </w:rPr>
      </w:pPr>
      <w:r w:rsidRPr="007031CE">
        <w:rPr>
          <w:color w:val="auto"/>
          <w:sz w:val="22"/>
        </w:rPr>
        <w:t xml:space="preserve">Walk away, where possible </w:t>
      </w:r>
    </w:p>
    <w:p w14:paraId="3308F57F" w14:textId="22292520" w:rsidR="00B909FB" w:rsidRPr="00ED71E4" w:rsidRDefault="00B909FB" w:rsidP="00B909FB">
      <w:pPr>
        <w:pStyle w:val="TSB-Level1Numbers"/>
        <w:ind w:left="0" w:firstLine="0"/>
        <w:rPr>
          <w:szCs w:val="22"/>
        </w:rPr>
      </w:pPr>
      <w:r w:rsidRPr="00B909FB">
        <w:rPr>
          <w:szCs w:val="22"/>
        </w:rPr>
        <w:t xml:space="preserve">All incidents will be logged and recorded </w:t>
      </w:r>
      <w:r w:rsidRPr="00ED71E4">
        <w:rPr>
          <w:szCs w:val="22"/>
        </w:rPr>
        <w:t xml:space="preserve">on </w:t>
      </w:r>
      <w:r w:rsidR="008B79DD" w:rsidRPr="00ED71E4">
        <w:rPr>
          <w:szCs w:val="22"/>
        </w:rPr>
        <w:t>the Health and Safety section of RecordMy on the child’s chronology.  The staff member logging must ensure that the Headteacher and the JMAT Health and Safety Lead (Jackie Oliver) are tagged into the report on RecordMy.</w:t>
      </w:r>
    </w:p>
    <w:p w14:paraId="79BEC873" w14:textId="460BB041" w:rsidR="00B909FB" w:rsidRPr="00ED71E4" w:rsidRDefault="00B909FB" w:rsidP="00B909FB">
      <w:pPr>
        <w:pStyle w:val="TSB-Level1Numbers"/>
        <w:ind w:left="0" w:firstLine="0"/>
        <w:rPr>
          <w:szCs w:val="22"/>
        </w:rPr>
      </w:pPr>
      <w:r w:rsidRPr="00B909FB">
        <w:rPr>
          <w:szCs w:val="22"/>
        </w:rPr>
        <w:t xml:space="preserve">The </w:t>
      </w:r>
      <w:r w:rsidR="008B79DD">
        <w:rPr>
          <w:bCs/>
          <w:szCs w:val="22"/>
        </w:rPr>
        <w:t>H</w:t>
      </w:r>
      <w:r w:rsidRPr="00B909FB">
        <w:rPr>
          <w:bCs/>
          <w:szCs w:val="22"/>
        </w:rPr>
        <w:t>eadteacher</w:t>
      </w:r>
      <w:r w:rsidRPr="00B909FB">
        <w:rPr>
          <w:szCs w:val="22"/>
        </w:rPr>
        <w:t xml:space="preserve"> should be immediately informed of any incidents, and should liaise with the </w:t>
      </w:r>
      <w:r>
        <w:rPr>
          <w:bCs/>
          <w:szCs w:val="22"/>
        </w:rPr>
        <w:t xml:space="preserve">JMAT </w:t>
      </w:r>
      <w:r w:rsidR="008B79DD" w:rsidRPr="00ED71E4">
        <w:rPr>
          <w:bCs/>
          <w:szCs w:val="22"/>
        </w:rPr>
        <w:t xml:space="preserve">(Health and Safety Lead) </w:t>
      </w:r>
      <w:r w:rsidRPr="00ED71E4">
        <w:rPr>
          <w:szCs w:val="22"/>
        </w:rPr>
        <w:t xml:space="preserve">and the police where necessary. </w:t>
      </w:r>
    </w:p>
    <w:p w14:paraId="271CD046" w14:textId="25845BF9" w:rsidR="00B909FB" w:rsidRPr="00B909FB" w:rsidRDefault="00B909FB" w:rsidP="00B909FB">
      <w:pPr>
        <w:pStyle w:val="TSB-Level1Numbers"/>
        <w:ind w:left="0" w:firstLine="0"/>
        <w:rPr>
          <w:szCs w:val="22"/>
        </w:rPr>
      </w:pPr>
      <w:r w:rsidRPr="00B909FB">
        <w:rPr>
          <w:szCs w:val="22"/>
        </w:rPr>
        <w:t xml:space="preserve">The police should be called via 999, in cases of emergency, where: </w:t>
      </w:r>
    </w:p>
    <w:p w14:paraId="176EE7DF" w14:textId="77777777" w:rsidR="00B909FB" w:rsidRPr="00B909FB" w:rsidRDefault="00B909FB" w:rsidP="00B909FB">
      <w:pPr>
        <w:pStyle w:val="PolicyBullets"/>
        <w:numPr>
          <w:ilvl w:val="0"/>
          <w:numId w:val="36"/>
        </w:numPr>
        <w:spacing w:after="120"/>
        <w:jc w:val="both"/>
        <w:rPr>
          <w:color w:val="auto"/>
          <w:sz w:val="22"/>
        </w:rPr>
      </w:pPr>
      <w:r w:rsidRPr="00B909FB">
        <w:rPr>
          <w:color w:val="auto"/>
          <w:sz w:val="22"/>
        </w:rPr>
        <w:lastRenderedPageBreak/>
        <w:t>There is danger to life.</w:t>
      </w:r>
    </w:p>
    <w:p w14:paraId="14C212B5" w14:textId="77777777" w:rsidR="00B909FB" w:rsidRPr="00B909FB" w:rsidRDefault="00B909FB" w:rsidP="00B909FB">
      <w:pPr>
        <w:pStyle w:val="PolicyBullets"/>
        <w:numPr>
          <w:ilvl w:val="0"/>
          <w:numId w:val="36"/>
        </w:numPr>
        <w:spacing w:after="120"/>
        <w:jc w:val="both"/>
        <w:rPr>
          <w:color w:val="auto"/>
          <w:sz w:val="22"/>
        </w:rPr>
      </w:pPr>
      <w:r w:rsidRPr="00B909FB">
        <w:rPr>
          <w:color w:val="auto"/>
          <w:sz w:val="22"/>
        </w:rPr>
        <w:t>There is a likelihood of violence.</w:t>
      </w:r>
    </w:p>
    <w:p w14:paraId="7454622C" w14:textId="77777777" w:rsidR="00B909FB" w:rsidRPr="00B909FB" w:rsidRDefault="00B909FB" w:rsidP="00B909FB">
      <w:pPr>
        <w:pStyle w:val="PolicyBullets"/>
        <w:numPr>
          <w:ilvl w:val="0"/>
          <w:numId w:val="36"/>
        </w:numPr>
        <w:spacing w:after="120"/>
        <w:jc w:val="both"/>
        <w:rPr>
          <w:color w:val="auto"/>
          <w:sz w:val="22"/>
        </w:rPr>
      </w:pPr>
      <w:r w:rsidRPr="00B909FB">
        <w:rPr>
          <w:color w:val="auto"/>
          <w:sz w:val="22"/>
        </w:rPr>
        <w:t>An assault is in progress.</w:t>
      </w:r>
    </w:p>
    <w:p w14:paraId="64472991" w14:textId="77777777" w:rsidR="00B909FB" w:rsidRPr="00B909FB" w:rsidRDefault="00B909FB" w:rsidP="00B909FB">
      <w:pPr>
        <w:pStyle w:val="PolicyBullets"/>
        <w:numPr>
          <w:ilvl w:val="0"/>
          <w:numId w:val="36"/>
        </w:numPr>
        <w:spacing w:after="120"/>
        <w:jc w:val="both"/>
        <w:rPr>
          <w:color w:val="auto"/>
          <w:sz w:val="22"/>
        </w:rPr>
      </w:pPr>
      <w:r w:rsidRPr="00B909FB">
        <w:rPr>
          <w:color w:val="auto"/>
          <w:sz w:val="22"/>
        </w:rPr>
        <w:t xml:space="preserve">The offender is on the school premises. </w:t>
      </w:r>
    </w:p>
    <w:p w14:paraId="19129BFC" w14:textId="77777777" w:rsidR="00B909FB" w:rsidRPr="00B909FB" w:rsidRDefault="00B909FB" w:rsidP="00B909FB">
      <w:pPr>
        <w:pStyle w:val="PolicyBullets"/>
        <w:numPr>
          <w:ilvl w:val="0"/>
          <w:numId w:val="36"/>
        </w:numPr>
        <w:spacing w:after="120"/>
        <w:jc w:val="both"/>
        <w:rPr>
          <w:color w:val="auto"/>
          <w:sz w:val="22"/>
        </w:rPr>
      </w:pPr>
      <w:r w:rsidRPr="00B909FB">
        <w:rPr>
          <w:color w:val="auto"/>
          <w:sz w:val="22"/>
        </w:rPr>
        <w:t xml:space="preserve">An offence has just occurred and an early arrest is likely. </w:t>
      </w:r>
    </w:p>
    <w:p w14:paraId="79F6D322" w14:textId="77777777" w:rsidR="00B909FB" w:rsidRPr="00B909FB" w:rsidRDefault="00B909FB" w:rsidP="00B909FB">
      <w:pPr>
        <w:pStyle w:val="TSB-Level1Numbers"/>
        <w:ind w:left="0" w:firstLine="0"/>
        <w:rPr>
          <w:szCs w:val="22"/>
        </w:rPr>
      </w:pPr>
      <w:r w:rsidRPr="00B909FB">
        <w:rPr>
          <w:szCs w:val="22"/>
        </w:rPr>
        <w:t xml:space="preserve">In the event of an emergency, staff should also acquire assistance from a member of the SLT, if available, or the nearest member of staff. </w:t>
      </w:r>
    </w:p>
    <w:p w14:paraId="0D0EAF39" w14:textId="77777777" w:rsidR="00B909FB" w:rsidRPr="00B909FB" w:rsidRDefault="00B909FB" w:rsidP="00B909FB">
      <w:pPr>
        <w:pStyle w:val="TSB-Level1Numbers"/>
        <w:ind w:left="0" w:firstLine="0"/>
        <w:rPr>
          <w:szCs w:val="22"/>
        </w:rPr>
      </w:pPr>
      <w:r w:rsidRPr="00B909FB">
        <w:rPr>
          <w:szCs w:val="22"/>
        </w:rPr>
        <w:t xml:space="preserve">Where police involvement is required, but the incident is not considered to be an emergency, the local police should be contacted on </w:t>
      </w:r>
      <w:r w:rsidRPr="00B909FB">
        <w:rPr>
          <w:bCs/>
          <w:szCs w:val="22"/>
        </w:rPr>
        <w:t>local police non-emergency phone number</w:t>
      </w:r>
      <w:r w:rsidRPr="00B909FB">
        <w:rPr>
          <w:szCs w:val="22"/>
        </w:rPr>
        <w:t xml:space="preserve">. </w:t>
      </w:r>
    </w:p>
    <w:p w14:paraId="0764D888" w14:textId="77777777" w:rsidR="00B909FB" w:rsidRPr="00B909FB" w:rsidRDefault="00B909FB" w:rsidP="00B909FB">
      <w:pPr>
        <w:pStyle w:val="TSB-Level1Numbers"/>
        <w:ind w:left="0" w:firstLine="0"/>
        <w:rPr>
          <w:szCs w:val="22"/>
        </w:rPr>
      </w:pPr>
      <w:r w:rsidRPr="00B909FB">
        <w:rPr>
          <w:szCs w:val="22"/>
        </w:rPr>
        <w:t xml:space="preserve">Help, support and counselling are made available to victims of violence at the time of the incident and in the long-term. </w:t>
      </w:r>
    </w:p>
    <w:p w14:paraId="42D37D13" w14:textId="77777777" w:rsidR="00B909FB" w:rsidRPr="00B909FB" w:rsidRDefault="00B909FB" w:rsidP="00B909FB">
      <w:pPr>
        <w:pStyle w:val="TSB-Level1Numbers"/>
        <w:ind w:left="0" w:firstLine="0"/>
        <w:rPr>
          <w:szCs w:val="22"/>
        </w:rPr>
      </w:pPr>
      <w:r w:rsidRPr="00B909FB">
        <w:rPr>
          <w:szCs w:val="22"/>
        </w:rPr>
        <w:t>Any member of staff or pupil who engages in an act of violence towards a</w:t>
      </w:r>
      <w:r w:rsidR="00F014D9">
        <w:rPr>
          <w:szCs w:val="22"/>
        </w:rPr>
        <w:t>nother</w:t>
      </w:r>
      <w:r w:rsidRPr="00B909FB">
        <w:rPr>
          <w:szCs w:val="22"/>
        </w:rPr>
        <w:t xml:space="preserve"> member of staff will be subject to the appropriate </w:t>
      </w:r>
      <w:r w:rsidR="00F014D9">
        <w:rPr>
          <w:szCs w:val="22"/>
        </w:rPr>
        <w:t xml:space="preserve">JMAT </w:t>
      </w:r>
      <w:r w:rsidRPr="00B909FB">
        <w:rPr>
          <w:szCs w:val="22"/>
        </w:rPr>
        <w:t xml:space="preserve">disciplinary procedures. </w:t>
      </w:r>
    </w:p>
    <w:p w14:paraId="46720710" w14:textId="77777777" w:rsidR="00B909FB" w:rsidRPr="00B909FB" w:rsidRDefault="00B909FB" w:rsidP="00B909FB">
      <w:pPr>
        <w:pStyle w:val="TSB-Level1Numbers"/>
        <w:ind w:left="0" w:firstLine="0"/>
        <w:rPr>
          <w:szCs w:val="22"/>
        </w:rPr>
      </w:pPr>
      <w:r w:rsidRPr="00B909FB">
        <w:rPr>
          <w:szCs w:val="22"/>
        </w:rPr>
        <w:t xml:space="preserve">Any accusations found to be false or malicious will not be tolerated and disciplinary action will be carried out. </w:t>
      </w:r>
    </w:p>
    <w:p w14:paraId="1F85BD64" w14:textId="77777777" w:rsidR="00B909FB" w:rsidRPr="00B909FB" w:rsidRDefault="00B909FB" w:rsidP="00A92E24">
      <w:pPr>
        <w:pStyle w:val="Heading1"/>
        <w:keepNext w:val="0"/>
        <w:keepLines w:val="0"/>
        <w:spacing w:line="276" w:lineRule="auto"/>
        <w:ind w:left="0" w:firstLine="0"/>
        <w:contextualSpacing/>
        <w:jc w:val="both"/>
        <w:rPr>
          <w:color w:val="auto"/>
          <w:sz w:val="24"/>
          <w:szCs w:val="24"/>
        </w:rPr>
      </w:pPr>
      <w:bookmarkStart w:id="3" w:name="_Harassment"/>
      <w:bookmarkEnd w:id="3"/>
      <w:r w:rsidRPr="00B909FB">
        <w:rPr>
          <w:color w:val="auto"/>
          <w:sz w:val="24"/>
          <w:szCs w:val="24"/>
        </w:rPr>
        <w:t>Harassment</w:t>
      </w:r>
    </w:p>
    <w:p w14:paraId="68BF713A" w14:textId="77777777" w:rsidR="00B909FB" w:rsidRPr="00B909FB" w:rsidRDefault="00B909FB" w:rsidP="00A92E24">
      <w:pPr>
        <w:pStyle w:val="TSB-Level1Numbers"/>
        <w:spacing w:after="0"/>
        <w:ind w:left="0" w:firstLine="0"/>
        <w:rPr>
          <w:szCs w:val="22"/>
        </w:rPr>
      </w:pPr>
      <w:r w:rsidRPr="00B909FB">
        <w:rPr>
          <w:szCs w:val="22"/>
        </w:rPr>
        <w:t xml:space="preserve">If a staff member becomes subject to harassment from individual parents or pupils, this may constitute an offence under the Protection from Harassment Act 1997. </w:t>
      </w:r>
    </w:p>
    <w:p w14:paraId="06828F33" w14:textId="77777777" w:rsidR="00A92E24" w:rsidRDefault="00A92E24" w:rsidP="00A92E24">
      <w:pPr>
        <w:pStyle w:val="TSB-Level1Numbers"/>
        <w:spacing w:after="0"/>
        <w:ind w:left="0" w:firstLine="0"/>
        <w:rPr>
          <w:szCs w:val="22"/>
        </w:rPr>
      </w:pPr>
    </w:p>
    <w:p w14:paraId="1367BE5A" w14:textId="0C5DD35F" w:rsidR="00B909FB" w:rsidRPr="00B909FB" w:rsidRDefault="00B909FB" w:rsidP="00A92E24">
      <w:pPr>
        <w:pStyle w:val="TSB-Level1Numbers"/>
        <w:spacing w:after="0"/>
        <w:ind w:left="0" w:firstLine="0"/>
        <w:rPr>
          <w:szCs w:val="22"/>
        </w:rPr>
      </w:pPr>
      <w:r w:rsidRPr="00B909FB">
        <w:rPr>
          <w:szCs w:val="22"/>
        </w:rPr>
        <w:t xml:space="preserve">In cases of harassment, staff should make records of all incidents in writing, taking note of the date, location, and means of communication. </w:t>
      </w:r>
    </w:p>
    <w:p w14:paraId="26FDDDE4" w14:textId="77777777" w:rsidR="00A92E24" w:rsidRDefault="00A92E24" w:rsidP="00A92E24">
      <w:pPr>
        <w:pStyle w:val="TSB-Level1Numbers"/>
        <w:spacing w:after="0"/>
        <w:ind w:left="0" w:firstLine="0"/>
        <w:rPr>
          <w:szCs w:val="22"/>
        </w:rPr>
      </w:pPr>
    </w:p>
    <w:p w14:paraId="0DFE34FA" w14:textId="59BC4708" w:rsidR="00B909FB" w:rsidRPr="00B909FB" w:rsidRDefault="00B909FB" w:rsidP="00A92E24">
      <w:pPr>
        <w:pStyle w:val="TSB-Level1Numbers"/>
        <w:spacing w:after="0"/>
        <w:ind w:left="0" w:firstLine="0"/>
        <w:rPr>
          <w:szCs w:val="22"/>
        </w:rPr>
      </w:pPr>
      <w:r w:rsidRPr="00B909FB">
        <w:rPr>
          <w:szCs w:val="22"/>
        </w:rPr>
        <w:t xml:space="preserve">Staff should inform the </w:t>
      </w:r>
      <w:r w:rsidRPr="00B909FB">
        <w:rPr>
          <w:bCs/>
          <w:szCs w:val="22"/>
        </w:rPr>
        <w:t>headteacher</w:t>
      </w:r>
      <w:r w:rsidRPr="00B909FB">
        <w:rPr>
          <w:szCs w:val="22"/>
        </w:rPr>
        <w:t xml:space="preserve">, who will contact the </w:t>
      </w:r>
      <w:r>
        <w:rPr>
          <w:bCs/>
          <w:szCs w:val="22"/>
        </w:rPr>
        <w:t>JMAT</w:t>
      </w:r>
      <w:r w:rsidRPr="00B909FB">
        <w:rPr>
          <w:szCs w:val="22"/>
        </w:rPr>
        <w:t xml:space="preserve"> for advice and support. </w:t>
      </w:r>
    </w:p>
    <w:p w14:paraId="6079DFDF" w14:textId="77777777" w:rsidR="00A92E24" w:rsidRDefault="00A92E24" w:rsidP="00A92E24">
      <w:pPr>
        <w:pStyle w:val="Heading1"/>
        <w:keepNext w:val="0"/>
        <w:keepLines w:val="0"/>
        <w:spacing w:line="276" w:lineRule="auto"/>
        <w:contextualSpacing/>
        <w:jc w:val="both"/>
        <w:rPr>
          <w:color w:val="auto"/>
          <w:sz w:val="24"/>
          <w:szCs w:val="24"/>
        </w:rPr>
      </w:pPr>
    </w:p>
    <w:p w14:paraId="6C4309B9" w14:textId="74364173" w:rsidR="00B909FB" w:rsidRPr="00B909FB" w:rsidRDefault="00B909FB" w:rsidP="00A92E24">
      <w:pPr>
        <w:pStyle w:val="Heading1"/>
        <w:keepNext w:val="0"/>
        <w:keepLines w:val="0"/>
        <w:spacing w:line="276" w:lineRule="auto"/>
        <w:contextualSpacing/>
        <w:jc w:val="both"/>
        <w:rPr>
          <w:color w:val="auto"/>
          <w:sz w:val="24"/>
          <w:szCs w:val="24"/>
        </w:rPr>
      </w:pPr>
      <w:r w:rsidRPr="00B909FB">
        <w:rPr>
          <w:color w:val="auto"/>
          <w:sz w:val="24"/>
          <w:szCs w:val="24"/>
        </w:rPr>
        <w:t>Banning from the school premises</w:t>
      </w:r>
    </w:p>
    <w:p w14:paraId="62D8F32B" w14:textId="77777777" w:rsidR="00B909FB" w:rsidRPr="00B909FB" w:rsidRDefault="00B909FB" w:rsidP="00A92E24">
      <w:pPr>
        <w:pStyle w:val="TSB-Level1Numbers"/>
        <w:spacing w:after="0"/>
        <w:ind w:left="23" w:firstLine="0"/>
        <w:rPr>
          <w:szCs w:val="22"/>
        </w:rPr>
      </w:pPr>
      <w:r w:rsidRPr="00B909FB">
        <w:rPr>
          <w:szCs w:val="22"/>
        </w:rPr>
        <w:t xml:space="preserve">Parents will be barred from the school premises if they act aggressively or pose a significant threat to the safety and security of the school community. </w:t>
      </w:r>
    </w:p>
    <w:p w14:paraId="14536C77" w14:textId="77777777" w:rsidR="00A92E24" w:rsidRDefault="00A92E24" w:rsidP="00A92E24">
      <w:pPr>
        <w:pStyle w:val="TSB-Level1Numbers"/>
        <w:spacing w:after="0"/>
        <w:ind w:left="23" w:firstLine="0"/>
        <w:rPr>
          <w:szCs w:val="22"/>
        </w:rPr>
      </w:pPr>
    </w:p>
    <w:p w14:paraId="37F5A74A" w14:textId="1E4691C8" w:rsidR="00B909FB" w:rsidRPr="00B909FB" w:rsidRDefault="00B909FB" w:rsidP="00A92E24">
      <w:pPr>
        <w:pStyle w:val="TSB-Level1Numbers"/>
        <w:spacing w:after="0"/>
        <w:ind w:left="23" w:firstLine="0"/>
        <w:rPr>
          <w:szCs w:val="22"/>
        </w:rPr>
      </w:pPr>
      <w:r w:rsidRPr="00B909FB">
        <w:rPr>
          <w:szCs w:val="22"/>
        </w:rPr>
        <w:t xml:space="preserve">The school will remove violent or aggressive individuals from the school site in line with the </w:t>
      </w:r>
      <w:r>
        <w:rPr>
          <w:bCs/>
          <w:szCs w:val="22"/>
        </w:rPr>
        <w:t>JMAT Parental Code of Conduct.</w:t>
      </w:r>
    </w:p>
    <w:p w14:paraId="5495CEA8" w14:textId="77777777" w:rsidR="00A92E24" w:rsidRDefault="00A92E24" w:rsidP="008B79DD">
      <w:pPr>
        <w:pStyle w:val="TSB-Level1Numbers"/>
        <w:spacing w:after="0"/>
        <w:ind w:left="0" w:firstLine="0"/>
        <w:rPr>
          <w:szCs w:val="22"/>
        </w:rPr>
      </w:pPr>
    </w:p>
    <w:p w14:paraId="1C866047" w14:textId="51F6046A" w:rsidR="00B909FB" w:rsidRDefault="00B909FB" w:rsidP="00A92E24">
      <w:pPr>
        <w:pStyle w:val="TSB-Level1Numbers"/>
        <w:spacing w:after="0"/>
        <w:ind w:left="0" w:firstLine="0"/>
        <w:rPr>
          <w:szCs w:val="22"/>
        </w:rPr>
      </w:pPr>
      <w:r w:rsidRPr="00B909FB">
        <w:rPr>
          <w:szCs w:val="22"/>
        </w:rPr>
        <w:t xml:space="preserve">Any incident which could warrant an individual being barred from the school premises will be reported to </w:t>
      </w:r>
      <w:r w:rsidRPr="00F014D9">
        <w:rPr>
          <w:szCs w:val="22"/>
        </w:rPr>
        <w:t xml:space="preserve">the </w:t>
      </w:r>
      <w:r w:rsidRPr="00F014D9">
        <w:rPr>
          <w:bCs/>
          <w:szCs w:val="22"/>
        </w:rPr>
        <w:t>headteacher</w:t>
      </w:r>
      <w:r w:rsidRPr="00F014D9">
        <w:rPr>
          <w:szCs w:val="22"/>
        </w:rPr>
        <w:t>.</w:t>
      </w:r>
      <w:r w:rsidRPr="00B909FB">
        <w:rPr>
          <w:szCs w:val="22"/>
        </w:rPr>
        <w:t xml:space="preserve"> If a person who has been banned subsequently trespasses on the premises and causes nuisance or disturbance, this may be considered a criminal offence under Section 547 of the Education Act 1996. </w:t>
      </w:r>
    </w:p>
    <w:p w14:paraId="6614415B" w14:textId="77777777" w:rsidR="00A92E24" w:rsidRPr="00B909FB" w:rsidRDefault="00A92E24" w:rsidP="00A92E24">
      <w:pPr>
        <w:pStyle w:val="TSB-Level1Numbers"/>
        <w:spacing w:after="0"/>
        <w:ind w:left="0" w:firstLine="0"/>
        <w:rPr>
          <w:szCs w:val="22"/>
        </w:rPr>
      </w:pPr>
    </w:p>
    <w:p w14:paraId="6A283B9D" w14:textId="77777777" w:rsidR="00B909FB" w:rsidRPr="00F014D9" w:rsidRDefault="00B909FB" w:rsidP="00A92E24">
      <w:pPr>
        <w:pStyle w:val="Heading1"/>
        <w:keepNext w:val="0"/>
        <w:keepLines w:val="0"/>
        <w:spacing w:line="276" w:lineRule="auto"/>
        <w:ind w:left="0" w:firstLine="0"/>
        <w:contextualSpacing/>
        <w:jc w:val="both"/>
        <w:rPr>
          <w:color w:val="auto"/>
          <w:sz w:val="24"/>
          <w:szCs w:val="24"/>
        </w:rPr>
      </w:pPr>
      <w:bookmarkStart w:id="4" w:name="_Recording_and_reporting"/>
      <w:bookmarkEnd w:id="4"/>
      <w:r w:rsidRPr="00F014D9">
        <w:rPr>
          <w:color w:val="auto"/>
          <w:sz w:val="24"/>
          <w:szCs w:val="24"/>
        </w:rPr>
        <w:t xml:space="preserve">Recording and reporting incidents </w:t>
      </w:r>
    </w:p>
    <w:p w14:paraId="0B632428" w14:textId="77777777" w:rsidR="008B79DD" w:rsidRPr="00B909FB" w:rsidRDefault="008B79DD" w:rsidP="008B79DD">
      <w:pPr>
        <w:pStyle w:val="TSB-Level1Numbers"/>
        <w:spacing w:after="0"/>
        <w:ind w:left="23" w:firstLine="0"/>
        <w:rPr>
          <w:szCs w:val="22"/>
        </w:rPr>
      </w:pPr>
      <w:r w:rsidRPr="00B909FB">
        <w:rPr>
          <w:szCs w:val="22"/>
        </w:rPr>
        <w:t xml:space="preserve">The school will record every </w:t>
      </w:r>
      <w:r w:rsidRPr="00ED71E4">
        <w:rPr>
          <w:szCs w:val="22"/>
        </w:rPr>
        <w:t xml:space="preserve">incident and any subsequent actions on the appropriate format on RecordMy, </w:t>
      </w:r>
      <w:r w:rsidRPr="00F014D9">
        <w:rPr>
          <w:szCs w:val="22"/>
        </w:rPr>
        <w:t>including</w:t>
      </w:r>
      <w:r w:rsidRPr="00B909FB">
        <w:rPr>
          <w:szCs w:val="22"/>
        </w:rPr>
        <w:t xml:space="preserve"> witness details, should evidence need to be provided in court. </w:t>
      </w:r>
    </w:p>
    <w:p w14:paraId="4D179F49" w14:textId="77777777" w:rsidR="00A92E24" w:rsidRDefault="00A92E24" w:rsidP="00A92E24">
      <w:pPr>
        <w:pStyle w:val="TSB-Level1Numbers"/>
        <w:spacing w:after="0"/>
        <w:ind w:left="23" w:firstLine="0"/>
        <w:rPr>
          <w:szCs w:val="22"/>
        </w:rPr>
      </w:pPr>
    </w:p>
    <w:p w14:paraId="71A4E0B5" w14:textId="6A682672" w:rsidR="00B909FB" w:rsidRDefault="00B909FB" w:rsidP="00A92E24">
      <w:pPr>
        <w:pStyle w:val="TSB-Level1Numbers"/>
        <w:spacing w:after="0"/>
        <w:ind w:left="23" w:firstLine="0"/>
        <w:rPr>
          <w:szCs w:val="22"/>
        </w:rPr>
      </w:pPr>
      <w:r w:rsidRPr="00B909FB">
        <w:rPr>
          <w:szCs w:val="22"/>
        </w:rPr>
        <w:t xml:space="preserve">All incidents will be reported to the </w:t>
      </w:r>
      <w:r w:rsidR="008B79DD">
        <w:rPr>
          <w:bCs/>
          <w:szCs w:val="22"/>
        </w:rPr>
        <w:t>H</w:t>
      </w:r>
      <w:r w:rsidRPr="00B909FB">
        <w:rPr>
          <w:bCs/>
          <w:szCs w:val="22"/>
        </w:rPr>
        <w:t>eadteacher</w:t>
      </w:r>
      <w:r w:rsidR="00474430">
        <w:rPr>
          <w:szCs w:val="22"/>
        </w:rPr>
        <w:t xml:space="preserve"> and shared with the </w:t>
      </w:r>
      <w:r w:rsidR="00474430" w:rsidRPr="00ED71E4">
        <w:rPr>
          <w:szCs w:val="22"/>
        </w:rPr>
        <w:t xml:space="preserve">JMAT </w:t>
      </w:r>
      <w:r w:rsidR="008B79DD" w:rsidRPr="00ED71E4">
        <w:rPr>
          <w:szCs w:val="22"/>
        </w:rPr>
        <w:t>Health and Safety Lead</w:t>
      </w:r>
      <w:r w:rsidR="008B79DD">
        <w:rPr>
          <w:color w:val="C00000"/>
          <w:szCs w:val="22"/>
        </w:rPr>
        <w:t>.</w:t>
      </w:r>
    </w:p>
    <w:p w14:paraId="5D4D63B5" w14:textId="77777777" w:rsidR="0031636B" w:rsidRDefault="0031636B" w:rsidP="00B909FB">
      <w:pPr>
        <w:pStyle w:val="TSB-Level1Numbers"/>
        <w:ind w:left="23" w:firstLine="0"/>
      </w:pPr>
      <w:r>
        <w:t xml:space="preserve">Employees may wish to contact their Recognised Trade Union Representative for support. </w:t>
      </w:r>
    </w:p>
    <w:p w14:paraId="7CF6FC94" w14:textId="77777777" w:rsidR="0031636B" w:rsidRPr="00B909FB" w:rsidRDefault="0031636B" w:rsidP="00B909FB">
      <w:pPr>
        <w:pStyle w:val="TSB-Level1Numbers"/>
        <w:ind w:left="23" w:firstLine="0"/>
        <w:rPr>
          <w:szCs w:val="22"/>
        </w:rPr>
      </w:pPr>
      <w:r>
        <w:t>Members of staff need to be assured that it is not a sign of personal or professional failure to be attacked or threatened and reminded that underreporting can expose them and other staff to serious risks.</w:t>
      </w:r>
    </w:p>
    <w:p w14:paraId="2A44B433" w14:textId="77777777" w:rsidR="00B909FB" w:rsidRPr="00B909FB" w:rsidRDefault="00B909FB" w:rsidP="00B909FB">
      <w:pPr>
        <w:pStyle w:val="TSB-Level1Numbers"/>
        <w:ind w:left="23" w:firstLine="0"/>
        <w:rPr>
          <w:szCs w:val="22"/>
        </w:rPr>
      </w:pPr>
      <w:r w:rsidRPr="00B909FB">
        <w:rPr>
          <w:szCs w:val="22"/>
        </w:rPr>
        <w:t xml:space="preserve">Evidence collected may be used later if court proceedings are brought against an alleged assailant. </w:t>
      </w:r>
    </w:p>
    <w:p w14:paraId="28C1DAE0" w14:textId="77777777" w:rsidR="00476663" w:rsidRPr="00474430" w:rsidRDefault="00476663" w:rsidP="00A92E24">
      <w:pPr>
        <w:pStyle w:val="TSB-Level1Numbers"/>
        <w:spacing w:after="0"/>
        <w:ind w:left="0" w:firstLine="0"/>
        <w:rPr>
          <w:b/>
          <w:color w:val="C00000"/>
          <w:sz w:val="24"/>
          <w:szCs w:val="24"/>
        </w:rPr>
      </w:pPr>
      <w:r w:rsidRPr="00474430">
        <w:rPr>
          <w:b/>
          <w:sz w:val="24"/>
          <w:szCs w:val="24"/>
        </w:rPr>
        <w:t xml:space="preserve">Risk Assessments </w:t>
      </w:r>
    </w:p>
    <w:p w14:paraId="2FF68EC1" w14:textId="77777777" w:rsidR="00476663" w:rsidRPr="00474430" w:rsidRDefault="00476663" w:rsidP="00A92E24">
      <w:pPr>
        <w:spacing w:after="0"/>
        <w:rPr>
          <w:sz w:val="22"/>
        </w:rPr>
      </w:pPr>
      <w:r w:rsidRPr="00474430">
        <w:rPr>
          <w:sz w:val="22"/>
        </w:rPr>
        <w:t xml:space="preserve">Carrying out risk assessments will allow schools to review the level of risk in all activities. They will help </w:t>
      </w:r>
    </w:p>
    <w:p w14:paraId="20CF519D" w14:textId="77777777" w:rsidR="00476663" w:rsidRPr="00474430" w:rsidRDefault="00476663" w:rsidP="00A92E24">
      <w:pPr>
        <w:spacing w:after="0"/>
        <w:rPr>
          <w:sz w:val="22"/>
        </w:rPr>
      </w:pPr>
      <w:r w:rsidRPr="00474430">
        <w:rPr>
          <w:sz w:val="22"/>
        </w:rPr>
        <w:lastRenderedPageBreak/>
        <w:t xml:space="preserve">provide a clear understanding of where the weaknesses lie in the current arrangements for dealing with </w:t>
      </w:r>
    </w:p>
    <w:p w14:paraId="4C7AC329" w14:textId="77777777" w:rsidR="00476663" w:rsidRPr="00474430" w:rsidRDefault="00476663" w:rsidP="00476663">
      <w:pPr>
        <w:rPr>
          <w:sz w:val="22"/>
        </w:rPr>
      </w:pPr>
      <w:r w:rsidRPr="00474430">
        <w:rPr>
          <w:sz w:val="22"/>
        </w:rPr>
        <w:t xml:space="preserve">violence. </w:t>
      </w:r>
    </w:p>
    <w:p w14:paraId="1C9DCE8B" w14:textId="77777777" w:rsidR="00476663" w:rsidRPr="00474430" w:rsidRDefault="00476663" w:rsidP="00476663">
      <w:pPr>
        <w:rPr>
          <w:sz w:val="22"/>
        </w:rPr>
      </w:pPr>
    </w:p>
    <w:p w14:paraId="6D096B62" w14:textId="77777777" w:rsidR="00476663" w:rsidRPr="00474430" w:rsidRDefault="00476663" w:rsidP="00476663">
      <w:pPr>
        <w:rPr>
          <w:sz w:val="22"/>
        </w:rPr>
      </w:pPr>
      <w:r w:rsidRPr="00474430">
        <w:rPr>
          <w:sz w:val="22"/>
        </w:rPr>
        <w:t xml:space="preserve">Risk assessments may only be carried out by persons who have an appropriate level of competence </w:t>
      </w:r>
    </w:p>
    <w:p w14:paraId="1D6973FB" w14:textId="77777777" w:rsidR="00476663" w:rsidRPr="00474430" w:rsidRDefault="00476663" w:rsidP="00476663">
      <w:pPr>
        <w:rPr>
          <w:sz w:val="22"/>
        </w:rPr>
      </w:pPr>
      <w:r w:rsidRPr="00474430">
        <w:rPr>
          <w:sz w:val="22"/>
        </w:rPr>
        <w:t xml:space="preserve">through training and experience. The level of training must ensure that the persons have an understanding </w:t>
      </w:r>
    </w:p>
    <w:p w14:paraId="719334E1" w14:textId="77777777" w:rsidR="00476663" w:rsidRPr="00474430" w:rsidRDefault="00476663" w:rsidP="00476663">
      <w:pPr>
        <w:rPr>
          <w:sz w:val="22"/>
        </w:rPr>
      </w:pPr>
      <w:r w:rsidRPr="00474430">
        <w:rPr>
          <w:sz w:val="22"/>
        </w:rPr>
        <w:t xml:space="preserve">of the principles of risk assessment and are able to instigate prevention or control measures. The persons </w:t>
      </w:r>
    </w:p>
    <w:p w14:paraId="37608DA1" w14:textId="77777777" w:rsidR="00476663" w:rsidRPr="00474430" w:rsidRDefault="00476663" w:rsidP="00476663">
      <w:pPr>
        <w:rPr>
          <w:sz w:val="22"/>
        </w:rPr>
      </w:pPr>
      <w:r w:rsidRPr="00474430">
        <w:rPr>
          <w:sz w:val="22"/>
        </w:rPr>
        <w:t xml:space="preserve">who conduct the risk assessments must also be familiar with the work situation where there is a risk </w:t>
      </w:r>
      <w:proofErr w:type="gramStart"/>
      <w:r w:rsidRPr="00474430">
        <w:rPr>
          <w:sz w:val="22"/>
        </w:rPr>
        <w:t>of</w:t>
      </w:r>
      <w:proofErr w:type="gramEnd"/>
      <w:r w:rsidRPr="00474430">
        <w:rPr>
          <w:sz w:val="22"/>
        </w:rPr>
        <w:t xml:space="preserve"> </w:t>
      </w:r>
    </w:p>
    <w:p w14:paraId="0E2636ED" w14:textId="77777777" w:rsidR="00476663" w:rsidRPr="00474430" w:rsidRDefault="00476663" w:rsidP="00476663">
      <w:pPr>
        <w:rPr>
          <w:sz w:val="22"/>
        </w:rPr>
      </w:pPr>
      <w:r w:rsidRPr="00474430">
        <w:rPr>
          <w:sz w:val="22"/>
        </w:rPr>
        <w:t xml:space="preserve">violence. </w:t>
      </w:r>
    </w:p>
    <w:p w14:paraId="6B15E8FA" w14:textId="77777777" w:rsidR="00476663" w:rsidRPr="00474430" w:rsidRDefault="00476663" w:rsidP="00476663">
      <w:pPr>
        <w:rPr>
          <w:sz w:val="22"/>
        </w:rPr>
      </w:pPr>
    </w:p>
    <w:p w14:paraId="4297B894" w14:textId="77777777" w:rsidR="00476663" w:rsidRPr="00474430" w:rsidRDefault="00476663" w:rsidP="00476663">
      <w:pPr>
        <w:rPr>
          <w:sz w:val="22"/>
        </w:rPr>
      </w:pPr>
      <w:r w:rsidRPr="00474430">
        <w:rPr>
          <w:sz w:val="22"/>
        </w:rPr>
        <w:t xml:space="preserve">Risk assessments are better carried out by two to three people rather than one individual. Having evaluated </w:t>
      </w:r>
    </w:p>
    <w:p w14:paraId="5190E60C" w14:textId="77777777" w:rsidR="00476663" w:rsidRPr="00474430" w:rsidRDefault="00476663" w:rsidP="00476663">
      <w:pPr>
        <w:rPr>
          <w:sz w:val="22"/>
        </w:rPr>
      </w:pPr>
      <w:r w:rsidRPr="00474430">
        <w:rPr>
          <w:sz w:val="22"/>
        </w:rPr>
        <w:t xml:space="preserve">the risk, it will then be necessary to decide whether precautions are already adequate or whether further </w:t>
      </w:r>
    </w:p>
    <w:p w14:paraId="3ED643DC" w14:textId="77777777" w:rsidR="00476663" w:rsidRPr="00474430" w:rsidRDefault="00476663" w:rsidP="00476663">
      <w:pPr>
        <w:rPr>
          <w:sz w:val="22"/>
        </w:rPr>
      </w:pPr>
      <w:r w:rsidRPr="00474430">
        <w:rPr>
          <w:sz w:val="22"/>
        </w:rPr>
        <w:t xml:space="preserve">action is required. </w:t>
      </w:r>
      <w:r w:rsidR="00B909FB" w:rsidRPr="00474430">
        <w:rPr>
          <w:sz w:val="22"/>
        </w:rPr>
        <w:t xml:space="preserve">Risk assessments will be </w:t>
      </w:r>
      <w:r w:rsidR="00474430">
        <w:rPr>
          <w:sz w:val="22"/>
        </w:rPr>
        <w:t>c</w:t>
      </w:r>
      <w:r w:rsidR="00B909FB" w:rsidRPr="00474430">
        <w:rPr>
          <w:sz w:val="22"/>
        </w:rPr>
        <w:t xml:space="preserve">arried out on individual pupils whose behaviour constitutes </w:t>
      </w:r>
    </w:p>
    <w:p w14:paraId="3CF61F2C" w14:textId="77777777" w:rsidR="00B909FB" w:rsidRPr="00476663" w:rsidRDefault="00B909FB" w:rsidP="00476663">
      <w:pPr>
        <w:rPr>
          <w:sz w:val="22"/>
        </w:rPr>
      </w:pPr>
      <w:r w:rsidRPr="00474430">
        <w:rPr>
          <w:sz w:val="22"/>
        </w:rPr>
        <w:t>cause for concern.</w:t>
      </w:r>
    </w:p>
    <w:p w14:paraId="4916A311" w14:textId="77777777" w:rsidR="00B909FB" w:rsidRPr="00B909FB" w:rsidRDefault="00B909FB" w:rsidP="00B909FB">
      <w:pPr>
        <w:pStyle w:val="Heading1"/>
        <w:ind w:left="360" w:firstLine="0"/>
        <w:rPr>
          <w:color w:val="auto"/>
          <w:sz w:val="24"/>
          <w:szCs w:val="24"/>
        </w:rPr>
      </w:pPr>
    </w:p>
    <w:p w14:paraId="047A92FA" w14:textId="77777777" w:rsidR="002B7CAE" w:rsidRPr="00B909FB" w:rsidRDefault="002B7CAE" w:rsidP="00A92E24">
      <w:pPr>
        <w:pStyle w:val="Heading1"/>
        <w:ind w:left="0" w:firstLine="0"/>
        <w:rPr>
          <w:color w:val="auto"/>
          <w:sz w:val="24"/>
          <w:szCs w:val="24"/>
        </w:rPr>
      </w:pPr>
      <w:r w:rsidRPr="00B909FB">
        <w:rPr>
          <w:color w:val="auto"/>
          <w:sz w:val="24"/>
          <w:szCs w:val="24"/>
        </w:rPr>
        <w:t xml:space="preserve">Monitoring, Evaluation and Policy review </w:t>
      </w:r>
    </w:p>
    <w:p w14:paraId="61265BAA" w14:textId="7BEAB558" w:rsidR="002B7CAE" w:rsidRDefault="002B7CAE" w:rsidP="00A92E24">
      <w:pPr>
        <w:pStyle w:val="TSB-Level1Numbers"/>
        <w:spacing w:after="0"/>
        <w:ind w:left="0" w:firstLine="0"/>
        <w:jc w:val="left"/>
      </w:pPr>
      <w:r>
        <w:t xml:space="preserve">The policy will be promoted and implemented throughout the JMAT schools. </w:t>
      </w:r>
    </w:p>
    <w:p w14:paraId="3BF183F2" w14:textId="77777777" w:rsidR="009E1D70" w:rsidRDefault="009E1D70" w:rsidP="009E1D70">
      <w:pPr>
        <w:pStyle w:val="TSB-Level1Numbers"/>
        <w:spacing w:after="0"/>
        <w:ind w:left="0" w:firstLine="0"/>
        <w:jc w:val="left"/>
      </w:pPr>
    </w:p>
    <w:p w14:paraId="17977196" w14:textId="6EE0CF65" w:rsidR="002B7CAE" w:rsidRPr="00386818" w:rsidRDefault="002B7CAE" w:rsidP="009E1D70">
      <w:pPr>
        <w:pStyle w:val="TSB-Level1Numbers"/>
        <w:spacing w:after="0"/>
        <w:ind w:left="0" w:firstLine="0"/>
        <w:jc w:val="left"/>
      </w:pPr>
      <w:r>
        <w:t xml:space="preserve">This policy will be assessed for its implementation and effectiveness </w:t>
      </w:r>
      <w:r w:rsidRPr="00F60F22">
        <w:rPr>
          <w:b/>
        </w:rPr>
        <w:t xml:space="preserve">annually </w:t>
      </w:r>
      <w:r w:rsidRPr="00841372">
        <w:t>by t</w:t>
      </w:r>
      <w:r>
        <w:t>he</w:t>
      </w:r>
      <w:r w:rsidRPr="00386818">
        <w:rPr>
          <w:b/>
        </w:rPr>
        <w:t xml:space="preserve"> </w:t>
      </w:r>
      <w:r>
        <w:rPr>
          <w:b/>
        </w:rPr>
        <w:t>DSL</w:t>
      </w:r>
      <w:r w:rsidRPr="00CB662E">
        <w:t xml:space="preserve"> </w:t>
      </w:r>
      <w:r w:rsidRPr="007D26DA">
        <w:t xml:space="preserve">and the </w:t>
      </w:r>
      <w:r w:rsidR="009719B3" w:rsidRPr="009719B3">
        <w:rPr>
          <w:b/>
        </w:rPr>
        <w:t xml:space="preserve">Health and Safety </w:t>
      </w:r>
      <w:r w:rsidR="008B79DD">
        <w:rPr>
          <w:b/>
        </w:rPr>
        <w:t>Lead.</w:t>
      </w:r>
    </w:p>
    <w:p w14:paraId="5FCEB6FE" w14:textId="77777777" w:rsidR="009E1D70" w:rsidRDefault="009E1D70" w:rsidP="009E1D70">
      <w:pPr>
        <w:pStyle w:val="TSB-Level1Numbers"/>
        <w:spacing w:after="0"/>
        <w:ind w:left="0" w:firstLine="0"/>
        <w:jc w:val="left"/>
      </w:pPr>
    </w:p>
    <w:p w14:paraId="27ED3F64" w14:textId="6D711F39" w:rsidR="00EB640E" w:rsidRDefault="002B7CAE" w:rsidP="009E1D70">
      <w:pPr>
        <w:pStyle w:val="TSB-Level1Numbers"/>
        <w:spacing w:after="0"/>
        <w:ind w:left="0" w:firstLine="0"/>
        <w:jc w:val="left"/>
        <w:rPr>
          <w:b/>
        </w:rPr>
      </w:pPr>
      <w:r w:rsidRPr="00841372">
        <w:t xml:space="preserve">The scheduled review date for this policy is </w:t>
      </w:r>
      <w:r>
        <w:rPr>
          <w:b/>
        </w:rPr>
        <w:t xml:space="preserve">September </w:t>
      </w:r>
      <w:r w:rsidR="004618DB">
        <w:rPr>
          <w:b/>
        </w:rPr>
        <w:t>202</w:t>
      </w:r>
      <w:r w:rsidR="00FE142D">
        <w:rPr>
          <w:b/>
        </w:rPr>
        <w:t>4</w:t>
      </w:r>
      <w:r w:rsidR="009719B3">
        <w:rPr>
          <w:b/>
        </w:rPr>
        <w:t>.</w:t>
      </w:r>
    </w:p>
    <w:p w14:paraId="53A5A622" w14:textId="77777777" w:rsidR="009719B3" w:rsidRDefault="009719B3" w:rsidP="009E1D70">
      <w:pPr>
        <w:pStyle w:val="TSB-Level1Numbers"/>
        <w:spacing w:after="0"/>
        <w:ind w:left="0" w:firstLine="0"/>
        <w:jc w:val="left"/>
        <w:rPr>
          <w:b/>
        </w:rPr>
      </w:pPr>
    </w:p>
    <w:p w14:paraId="14E35925" w14:textId="77777777" w:rsidR="009719B3" w:rsidRDefault="009719B3" w:rsidP="009E1D70">
      <w:pPr>
        <w:pStyle w:val="TSB-Level1Numbers"/>
        <w:spacing w:after="0"/>
        <w:ind w:left="0" w:firstLine="0"/>
        <w:jc w:val="left"/>
        <w:rPr>
          <w:b/>
        </w:rPr>
      </w:pPr>
    </w:p>
    <w:p w14:paraId="70DF9E68" w14:textId="77777777" w:rsidR="009719B3" w:rsidRDefault="009719B3" w:rsidP="00B909FB">
      <w:pPr>
        <w:pStyle w:val="TSB-Level1Numbers"/>
        <w:ind w:left="0" w:firstLine="0"/>
        <w:jc w:val="left"/>
        <w:rPr>
          <w:b/>
        </w:rPr>
      </w:pPr>
    </w:p>
    <w:p w14:paraId="4DCCDDF0" w14:textId="77777777" w:rsidR="009719B3" w:rsidRDefault="009719B3" w:rsidP="00B909FB">
      <w:pPr>
        <w:pStyle w:val="TSB-Level1Numbers"/>
        <w:ind w:left="0" w:firstLine="0"/>
        <w:jc w:val="left"/>
        <w:rPr>
          <w:b/>
        </w:rPr>
      </w:pPr>
    </w:p>
    <w:p w14:paraId="476B183A" w14:textId="77777777" w:rsidR="009719B3" w:rsidRDefault="009719B3" w:rsidP="00B909FB">
      <w:pPr>
        <w:pStyle w:val="TSB-Level1Numbers"/>
        <w:ind w:left="0" w:firstLine="0"/>
        <w:jc w:val="left"/>
        <w:rPr>
          <w:b/>
        </w:rPr>
      </w:pPr>
    </w:p>
    <w:p w14:paraId="728D5351" w14:textId="77777777" w:rsidR="009719B3" w:rsidRDefault="009719B3" w:rsidP="00B909FB">
      <w:pPr>
        <w:pStyle w:val="TSB-Level1Numbers"/>
        <w:ind w:left="0" w:firstLine="0"/>
        <w:jc w:val="left"/>
        <w:rPr>
          <w:b/>
        </w:rPr>
      </w:pPr>
    </w:p>
    <w:p w14:paraId="32C239FF" w14:textId="77777777" w:rsidR="009719B3" w:rsidRDefault="009719B3" w:rsidP="00B909FB">
      <w:pPr>
        <w:pStyle w:val="TSB-Level1Numbers"/>
        <w:ind w:left="0" w:firstLine="0"/>
        <w:jc w:val="left"/>
        <w:rPr>
          <w:b/>
        </w:rPr>
      </w:pPr>
    </w:p>
    <w:p w14:paraId="6037B0F2" w14:textId="77777777" w:rsidR="009719B3" w:rsidRDefault="009719B3" w:rsidP="00B909FB">
      <w:pPr>
        <w:pStyle w:val="TSB-Level1Numbers"/>
        <w:ind w:left="0" w:firstLine="0"/>
        <w:jc w:val="left"/>
        <w:rPr>
          <w:b/>
        </w:rPr>
      </w:pPr>
    </w:p>
    <w:p w14:paraId="538C0E6D" w14:textId="77777777" w:rsidR="009719B3" w:rsidRDefault="009719B3" w:rsidP="00B909FB">
      <w:pPr>
        <w:pStyle w:val="TSB-Level1Numbers"/>
        <w:ind w:left="0" w:firstLine="0"/>
        <w:jc w:val="left"/>
        <w:rPr>
          <w:b/>
        </w:rPr>
      </w:pPr>
    </w:p>
    <w:p w14:paraId="3F12559F" w14:textId="77777777" w:rsidR="009719B3" w:rsidRDefault="009719B3" w:rsidP="00B909FB">
      <w:pPr>
        <w:pStyle w:val="TSB-Level1Numbers"/>
        <w:ind w:left="0" w:firstLine="0"/>
        <w:jc w:val="left"/>
        <w:rPr>
          <w:b/>
        </w:rPr>
      </w:pPr>
    </w:p>
    <w:p w14:paraId="3D6B8F6D" w14:textId="77777777" w:rsidR="009719B3" w:rsidRDefault="009719B3" w:rsidP="00B909FB">
      <w:pPr>
        <w:pStyle w:val="TSB-Level1Numbers"/>
        <w:ind w:left="0" w:firstLine="0"/>
        <w:jc w:val="left"/>
        <w:rPr>
          <w:b/>
        </w:rPr>
      </w:pPr>
    </w:p>
    <w:p w14:paraId="626A1A31" w14:textId="77777777" w:rsidR="009719B3" w:rsidRDefault="009719B3" w:rsidP="00B909FB">
      <w:pPr>
        <w:pStyle w:val="TSB-Level1Numbers"/>
        <w:ind w:left="0" w:firstLine="0"/>
        <w:jc w:val="left"/>
        <w:rPr>
          <w:b/>
        </w:rPr>
      </w:pPr>
    </w:p>
    <w:p w14:paraId="1B7BC296" w14:textId="77777777" w:rsidR="009719B3" w:rsidRDefault="009719B3" w:rsidP="00B909FB">
      <w:pPr>
        <w:pStyle w:val="TSB-Level1Numbers"/>
        <w:ind w:left="0" w:firstLine="0"/>
        <w:jc w:val="left"/>
        <w:rPr>
          <w:b/>
        </w:rPr>
      </w:pPr>
    </w:p>
    <w:p w14:paraId="75E4C6D6" w14:textId="77777777" w:rsidR="009719B3" w:rsidRDefault="009719B3" w:rsidP="00B909FB">
      <w:pPr>
        <w:pStyle w:val="TSB-Level1Numbers"/>
        <w:ind w:left="0" w:firstLine="0"/>
        <w:jc w:val="left"/>
        <w:rPr>
          <w:b/>
        </w:rPr>
      </w:pPr>
    </w:p>
    <w:p w14:paraId="1B21E376" w14:textId="77777777" w:rsidR="00963B55" w:rsidRDefault="00963B55" w:rsidP="00B909FB">
      <w:pPr>
        <w:pStyle w:val="TSB-Level1Numbers"/>
        <w:ind w:left="0" w:firstLine="0"/>
        <w:jc w:val="left"/>
        <w:rPr>
          <w:b/>
        </w:rPr>
        <w:sectPr w:rsidR="00963B55" w:rsidSect="00970C09">
          <w:pgSz w:w="11906" w:h="16838"/>
          <w:pgMar w:top="720" w:right="720" w:bottom="720" w:left="720" w:header="708" w:footer="708" w:gutter="0"/>
          <w:cols w:space="708"/>
          <w:docGrid w:linePitch="360"/>
        </w:sectPr>
      </w:pPr>
    </w:p>
    <w:p w14:paraId="7E1FDDD6" w14:textId="77777777" w:rsidR="009719B3" w:rsidRDefault="009719B3" w:rsidP="00B909FB">
      <w:pPr>
        <w:pStyle w:val="TSB-Level1Numbers"/>
        <w:ind w:left="0" w:firstLine="0"/>
        <w:jc w:val="left"/>
        <w:rPr>
          <w:b/>
        </w:rPr>
      </w:pPr>
      <w:r>
        <w:rPr>
          <w:b/>
        </w:rPr>
        <w:lastRenderedPageBreak/>
        <w:t>APPENDIX 1</w:t>
      </w:r>
    </w:p>
    <w:p w14:paraId="278E4EE2" w14:textId="77777777" w:rsidR="009719B3" w:rsidRDefault="00FD6E77" w:rsidP="00B909FB">
      <w:pPr>
        <w:pStyle w:val="TSB-Level1Numbers"/>
        <w:ind w:left="0" w:firstLine="0"/>
        <w:jc w:val="left"/>
        <w:rPr>
          <w:b/>
        </w:rPr>
      </w:pPr>
      <w:r>
        <w:rPr>
          <w:b/>
        </w:rPr>
        <w:t>Risk Assessment</w:t>
      </w:r>
    </w:p>
    <w:tbl>
      <w:tblPr>
        <w:tblW w:w="18498" w:type="dxa"/>
        <w:tblInd w:w="118" w:type="dxa"/>
        <w:tblLook w:val="04A0" w:firstRow="1" w:lastRow="0" w:firstColumn="1" w:lastColumn="0" w:noHBand="0" w:noVBand="1"/>
      </w:tblPr>
      <w:tblGrid>
        <w:gridCol w:w="3965"/>
        <w:gridCol w:w="750"/>
        <w:gridCol w:w="472"/>
        <w:gridCol w:w="3140"/>
        <w:gridCol w:w="938"/>
        <w:gridCol w:w="811"/>
        <w:gridCol w:w="1000"/>
        <w:gridCol w:w="808"/>
        <w:gridCol w:w="1777"/>
        <w:gridCol w:w="680"/>
        <w:gridCol w:w="1120"/>
        <w:gridCol w:w="350"/>
        <w:gridCol w:w="1976"/>
        <w:gridCol w:w="600"/>
        <w:gridCol w:w="600"/>
      </w:tblGrid>
      <w:tr w:rsidR="00963B55" w:rsidRPr="00963B55" w14:paraId="28077FC5" w14:textId="77777777" w:rsidTr="00963B55">
        <w:trPr>
          <w:trHeight w:val="510"/>
        </w:trPr>
        <w:tc>
          <w:tcPr>
            <w:tcW w:w="39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74FC8F" w14:textId="77777777" w:rsidR="00963B55" w:rsidRPr="00963B55" w:rsidRDefault="00963B55" w:rsidP="00963B55">
            <w:pPr>
              <w:spacing w:after="0" w:line="240" w:lineRule="auto"/>
              <w:ind w:left="0" w:firstLine="0"/>
              <w:jc w:val="center"/>
              <w:rPr>
                <w:rFonts w:eastAsia="Times New Roman"/>
                <w:b/>
                <w:bCs/>
                <w:color w:val="auto"/>
                <w:sz w:val="20"/>
                <w:szCs w:val="20"/>
              </w:rPr>
            </w:pPr>
            <w:r w:rsidRPr="00963B55">
              <w:rPr>
                <w:rFonts w:eastAsia="Times New Roman"/>
                <w:b/>
                <w:bCs/>
                <w:color w:val="auto"/>
                <w:sz w:val="20"/>
                <w:szCs w:val="20"/>
              </w:rPr>
              <w:t>Violence towards Staff</w:t>
            </w:r>
          </w:p>
        </w:tc>
        <w:tc>
          <w:tcPr>
            <w:tcW w:w="850" w:type="dxa"/>
            <w:gridSpan w:val="2"/>
            <w:tcBorders>
              <w:top w:val="single" w:sz="8" w:space="0" w:color="auto"/>
              <w:left w:val="nil"/>
              <w:bottom w:val="single" w:sz="4" w:space="0" w:color="auto"/>
              <w:right w:val="single" w:sz="4" w:space="0" w:color="000000"/>
            </w:tcBorders>
            <w:shd w:val="clear" w:color="auto" w:fill="auto"/>
            <w:vAlign w:val="center"/>
            <w:hideMark/>
          </w:tcPr>
          <w:p w14:paraId="3809C63A"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 </w:t>
            </w:r>
          </w:p>
        </w:tc>
        <w:tc>
          <w:tcPr>
            <w:tcW w:w="3140" w:type="dxa"/>
            <w:tcBorders>
              <w:top w:val="single" w:sz="8" w:space="0" w:color="auto"/>
              <w:left w:val="nil"/>
              <w:bottom w:val="single" w:sz="4" w:space="0" w:color="auto"/>
              <w:right w:val="single" w:sz="4" w:space="0" w:color="auto"/>
            </w:tcBorders>
            <w:shd w:val="clear" w:color="auto" w:fill="auto"/>
            <w:noWrap/>
            <w:vAlign w:val="center"/>
            <w:hideMark/>
          </w:tcPr>
          <w:p w14:paraId="6A067576" w14:textId="77777777" w:rsidR="00963B55" w:rsidRPr="00963B55" w:rsidRDefault="00963B55" w:rsidP="00963B55">
            <w:pPr>
              <w:spacing w:after="0" w:line="240" w:lineRule="auto"/>
              <w:ind w:left="0" w:firstLine="0"/>
              <w:jc w:val="center"/>
              <w:rPr>
                <w:rFonts w:eastAsia="Times New Roman"/>
                <w:b/>
                <w:bCs/>
                <w:color w:val="auto"/>
                <w:sz w:val="20"/>
                <w:szCs w:val="20"/>
              </w:rPr>
            </w:pPr>
            <w:r w:rsidRPr="00963B55">
              <w:rPr>
                <w:rFonts w:eastAsia="Times New Roman"/>
                <w:b/>
                <w:bCs/>
                <w:color w:val="auto"/>
                <w:sz w:val="20"/>
                <w:szCs w:val="20"/>
              </w:rPr>
              <w:t>PREMISES</w:t>
            </w:r>
          </w:p>
        </w:tc>
        <w:tc>
          <w:tcPr>
            <w:tcW w:w="3557"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14D51A45"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 </w:t>
            </w:r>
          </w:p>
        </w:tc>
        <w:tc>
          <w:tcPr>
            <w:tcW w:w="1777" w:type="dxa"/>
            <w:tcBorders>
              <w:top w:val="single" w:sz="8" w:space="0" w:color="auto"/>
              <w:left w:val="nil"/>
              <w:bottom w:val="single" w:sz="4" w:space="0" w:color="auto"/>
              <w:right w:val="single" w:sz="4" w:space="0" w:color="auto"/>
            </w:tcBorders>
            <w:shd w:val="clear" w:color="auto" w:fill="auto"/>
            <w:noWrap/>
            <w:vAlign w:val="center"/>
            <w:hideMark/>
          </w:tcPr>
          <w:p w14:paraId="4E5D79D8" w14:textId="77777777" w:rsidR="00963B55" w:rsidRPr="00963B55" w:rsidRDefault="00963B55" w:rsidP="00963B55">
            <w:pPr>
              <w:spacing w:after="0" w:line="240" w:lineRule="auto"/>
              <w:ind w:left="0" w:firstLine="0"/>
              <w:jc w:val="center"/>
              <w:rPr>
                <w:rFonts w:eastAsia="Times New Roman"/>
                <w:b/>
                <w:bCs/>
                <w:color w:val="auto"/>
                <w:sz w:val="20"/>
                <w:szCs w:val="20"/>
              </w:rPr>
            </w:pPr>
            <w:r w:rsidRPr="00963B55">
              <w:rPr>
                <w:rFonts w:eastAsia="Times New Roman"/>
                <w:b/>
                <w:bCs/>
                <w:color w:val="auto"/>
                <w:sz w:val="20"/>
                <w:szCs w:val="20"/>
              </w:rPr>
              <w:t>DATE</w:t>
            </w:r>
          </w:p>
        </w:tc>
        <w:tc>
          <w:tcPr>
            <w:tcW w:w="180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31836D2"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 </w:t>
            </w:r>
          </w:p>
        </w:tc>
        <w:tc>
          <w:tcPr>
            <w:tcW w:w="2209"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2FC10F3" w14:textId="77777777" w:rsidR="00963B55" w:rsidRPr="00963B55" w:rsidRDefault="00963B55" w:rsidP="00963B55">
            <w:pPr>
              <w:spacing w:after="0" w:line="240" w:lineRule="auto"/>
              <w:ind w:left="0" w:firstLine="0"/>
              <w:jc w:val="center"/>
              <w:rPr>
                <w:rFonts w:eastAsia="Times New Roman"/>
                <w:b/>
                <w:bCs/>
                <w:color w:val="auto"/>
                <w:sz w:val="20"/>
                <w:szCs w:val="20"/>
              </w:rPr>
            </w:pPr>
            <w:r w:rsidRPr="00963B55">
              <w:rPr>
                <w:rFonts w:eastAsia="Times New Roman"/>
                <w:b/>
                <w:bCs/>
                <w:color w:val="auto"/>
                <w:sz w:val="20"/>
                <w:szCs w:val="20"/>
              </w:rPr>
              <w:t>Ref:</w:t>
            </w:r>
          </w:p>
        </w:tc>
        <w:tc>
          <w:tcPr>
            <w:tcW w:w="120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B22FB18"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 </w:t>
            </w:r>
          </w:p>
        </w:tc>
      </w:tr>
      <w:tr w:rsidR="00963B55" w:rsidRPr="00963B55" w14:paraId="047816BD" w14:textId="77777777" w:rsidTr="00963B55">
        <w:trPr>
          <w:trHeight w:val="255"/>
        </w:trPr>
        <w:tc>
          <w:tcPr>
            <w:tcW w:w="3965" w:type="dxa"/>
            <w:tcBorders>
              <w:top w:val="nil"/>
              <w:left w:val="single" w:sz="8" w:space="0" w:color="auto"/>
              <w:bottom w:val="single" w:sz="4" w:space="0" w:color="auto"/>
              <w:right w:val="single" w:sz="4" w:space="0" w:color="auto"/>
            </w:tcBorders>
            <w:shd w:val="clear" w:color="000000" w:fill="C0C0C0"/>
            <w:noWrap/>
            <w:vAlign w:val="bottom"/>
            <w:hideMark/>
          </w:tcPr>
          <w:p w14:paraId="42BD6DF3" w14:textId="77777777" w:rsidR="00963B55" w:rsidRPr="00963B55" w:rsidRDefault="00963B55" w:rsidP="00963B55">
            <w:pPr>
              <w:spacing w:after="0" w:line="240" w:lineRule="auto"/>
              <w:ind w:left="0" w:firstLine="0"/>
              <w:rPr>
                <w:rFonts w:eastAsia="Times New Roman"/>
                <w:b/>
                <w:bCs/>
                <w:color w:val="auto"/>
                <w:sz w:val="20"/>
                <w:szCs w:val="20"/>
              </w:rPr>
            </w:pPr>
            <w:r w:rsidRPr="00963B55">
              <w:rPr>
                <w:rFonts w:eastAsia="Times New Roman"/>
                <w:b/>
                <w:bCs/>
                <w:color w:val="auto"/>
                <w:sz w:val="20"/>
                <w:szCs w:val="20"/>
              </w:rPr>
              <w:t>RISK ASSESSMENT</w:t>
            </w:r>
            <w:r w:rsidRPr="00963B55">
              <w:rPr>
                <w:rFonts w:eastAsia="Times New Roman"/>
                <w:color w:val="auto"/>
                <w:sz w:val="20"/>
                <w:szCs w:val="20"/>
              </w:rPr>
              <w:t xml:space="preserve"> for Operation / Activity</w:t>
            </w:r>
          </w:p>
        </w:tc>
        <w:tc>
          <w:tcPr>
            <w:tcW w:w="564" w:type="dxa"/>
            <w:tcBorders>
              <w:top w:val="nil"/>
              <w:left w:val="nil"/>
              <w:bottom w:val="single" w:sz="4" w:space="0" w:color="auto"/>
              <w:right w:val="nil"/>
            </w:tcBorders>
            <w:shd w:val="clear" w:color="000000" w:fill="C0C0C0"/>
            <w:noWrap/>
            <w:vAlign w:val="bottom"/>
            <w:hideMark/>
          </w:tcPr>
          <w:p w14:paraId="782FE4C2"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286" w:type="dxa"/>
            <w:tcBorders>
              <w:top w:val="nil"/>
              <w:left w:val="nil"/>
              <w:bottom w:val="single" w:sz="4" w:space="0" w:color="auto"/>
              <w:right w:val="nil"/>
            </w:tcBorders>
            <w:shd w:val="clear" w:color="000000" w:fill="C0C0C0"/>
            <w:noWrap/>
            <w:vAlign w:val="bottom"/>
            <w:hideMark/>
          </w:tcPr>
          <w:p w14:paraId="6067CC61"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3140" w:type="dxa"/>
            <w:tcBorders>
              <w:top w:val="nil"/>
              <w:left w:val="nil"/>
              <w:bottom w:val="single" w:sz="4" w:space="0" w:color="auto"/>
              <w:right w:val="nil"/>
            </w:tcBorders>
            <w:shd w:val="clear" w:color="000000" w:fill="C0C0C0"/>
            <w:noWrap/>
            <w:vAlign w:val="bottom"/>
            <w:hideMark/>
          </w:tcPr>
          <w:p w14:paraId="09188048"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938" w:type="dxa"/>
            <w:tcBorders>
              <w:top w:val="nil"/>
              <w:left w:val="nil"/>
              <w:bottom w:val="single" w:sz="4" w:space="0" w:color="auto"/>
              <w:right w:val="nil"/>
            </w:tcBorders>
            <w:shd w:val="clear" w:color="000000" w:fill="C0C0C0"/>
            <w:noWrap/>
            <w:vAlign w:val="bottom"/>
            <w:hideMark/>
          </w:tcPr>
          <w:p w14:paraId="0BFDF1DF"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nil"/>
            </w:tcBorders>
            <w:shd w:val="clear" w:color="000000" w:fill="C0C0C0"/>
            <w:noWrap/>
            <w:vAlign w:val="bottom"/>
            <w:hideMark/>
          </w:tcPr>
          <w:p w14:paraId="2834B5D4"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nil"/>
            </w:tcBorders>
            <w:shd w:val="clear" w:color="000000" w:fill="C0C0C0"/>
            <w:noWrap/>
            <w:vAlign w:val="bottom"/>
            <w:hideMark/>
          </w:tcPr>
          <w:p w14:paraId="09305A3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08" w:type="dxa"/>
            <w:tcBorders>
              <w:top w:val="nil"/>
              <w:left w:val="nil"/>
              <w:bottom w:val="single" w:sz="4" w:space="0" w:color="auto"/>
              <w:right w:val="nil"/>
            </w:tcBorders>
            <w:shd w:val="clear" w:color="000000" w:fill="C0C0C0"/>
            <w:noWrap/>
            <w:vAlign w:val="bottom"/>
            <w:hideMark/>
          </w:tcPr>
          <w:p w14:paraId="1F028FEF"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777" w:type="dxa"/>
            <w:tcBorders>
              <w:top w:val="nil"/>
              <w:left w:val="nil"/>
              <w:bottom w:val="single" w:sz="4" w:space="0" w:color="auto"/>
              <w:right w:val="nil"/>
            </w:tcBorders>
            <w:shd w:val="clear" w:color="000000" w:fill="C0C0C0"/>
            <w:noWrap/>
            <w:vAlign w:val="bottom"/>
            <w:hideMark/>
          </w:tcPr>
          <w:p w14:paraId="40587906"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80" w:type="dxa"/>
            <w:tcBorders>
              <w:top w:val="nil"/>
              <w:left w:val="nil"/>
              <w:bottom w:val="single" w:sz="4" w:space="0" w:color="auto"/>
              <w:right w:val="nil"/>
            </w:tcBorders>
            <w:shd w:val="clear" w:color="000000" w:fill="C0C0C0"/>
            <w:noWrap/>
            <w:vAlign w:val="bottom"/>
            <w:hideMark/>
          </w:tcPr>
          <w:p w14:paraId="1D27B3A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120" w:type="dxa"/>
            <w:tcBorders>
              <w:top w:val="nil"/>
              <w:left w:val="nil"/>
              <w:bottom w:val="single" w:sz="4" w:space="0" w:color="auto"/>
              <w:right w:val="nil"/>
            </w:tcBorders>
            <w:shd w:val="clear" w:color="000000" w:fill="C0C0C0"/>
            <w:noWrap/>
            <w:vAlign w:val="bottom"/>
            <w:hideMark/>
          </w:tcPr>
          <w:p w14:paraId="172494D2"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233" w:type="dxa"/>
            <w:tcBorders>
              <w:top w:val="nil"/>
              <w:left w:val="nil"/>
              <w:bottom w:val="single" w:sz="4" w:space="0" w:color="auto"/>
              <w:right w:val="nil"/>
            </w:tcBorders>
            <w:shd w:val="clear" w:color="000000" w:fill="C0C0C0"/>
            <w:noWrap/>
            <w:vAlign w:val="bottom"/>
            <w:hideMark/>
          </w:tcPr>
          <w:p w14:paraId="716DECC4"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976" w:type="dxa"/>
            <w:tcBorders>
              <w:top w:val="nil"/>
              <w:left w:val="nil"/>
              <w:bottom w:val="single" w:sz="4" w:space="0" w:color="auto"/>
              <w:right w:val="nil"/>
            </w:tcBorders>
            <w:shd w:val="clear" w:color="000000" w:fill="C0C0C0"/>
            <w:noWrap/>
            <w:vAlign w:val="bottom"/>
            <w:hideMark/>
          </w:tcPr>
          <w:p w14:paraId="2121090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nil"/>
            </w:tcBorders>
            <w:shd w:val="clear" w:color="000000" w:fill="C0C0C0"/>
            <w:noWrap/>
            <w:vAlign w:val="bottom"/>
            <w:hideMark/>
          </w:tcPr>
          <w:p w14:paraId="0B64F64B"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000000" w:fill="C0C0C0"/>
            <w:noWrap/>
            <w:vAlign w:val="bottom"/>
            <w:hideMark/>
          </w:tcPr>
          <w:p w14:paraId="3B49420F"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25365AF3" w14:textId="77777777" w:rsidTr="00963B55">
        <w:trPr>
          <w:trHeight w:val="885"/>
        </w:trPr>
        <w:tc>
          <w:tcPr>
            <w:tcW w:w="18498" w:type="dxa"/>
            <w:gridSpan w:val="15"/>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E0D099C" w14:textId="77777777" w:rsidR="00963B55" w:rsidRPr="00963B55" w:rsidRDefault="00963B55" w:rsidP="00963B55">
            <w:pPr>
              <w:spacing w:after="0" w:line="240" w:lineRule="auto"/>
              <w:ind w:left="0" w:firstLine="0"/>
              <w:rPr>
                <w:rFonts w:eastAsia="Times New Roman"/>
                <w:color w:val="auto"/>
                <w:szCs w:val="24"/>
              </w:rPr>
            </w:pPr>
            <w:r w:rsidRPr="00963B55">
              <w:rPr>
                <w:rFonts w:eastAsia="Times New Roman"/>
                <w:color w:val="auto"/>
                <w:szCs w:val="24"/>
              </w:rPr>
              <w:t>Violence towards Staff</w:t>
            </w:r>
          </w:p>
        </w:tc>
      </w:tr>
      <w:tr w:rsidR="00963B55" w:rsidRPr="00963B55" w14:paraId="7BED4591" w14:textId="77777777" w:rsidTr="00963B55">
        <w:trPr>
          <w:trHeight w:val="360"/>
        </w:trPr>
        <w:tc>
          <w:tcPr>
            <w:tcW w:w="3965" w:type="dxa"/>
            <w:tcBorders>
              <w:top w:val="nil"/>
              <w:left w:val="single" w:sz="8" w:space="0" w:color="auto"/>
              <w:bottom w:val="single" w:sz="4" w:space="0" w:color="auto"/>
              <w:right w:val="single" w:sz="4" w:space="0" w:color="auto"/>
            </w:tcBorders>
            <w:shd w:val="clear" w:color="000000" w:fill="C0C0C0"/>
            <w:noWrap/>
            <w:vAlign w:val="center"/>
            <w:hideMark/>
          </w:tcPr>
          <w:p w14:paraId="314BD560"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Hazards Noted</w:t>
            </w:r>
          </w:p>
        </w:tc>
        <w:tc>
          <w:tcPr>
            <w:tcW w:w="3990" w:type="dxa"/>
            <w:gridSpan w:val="3"/>
            <w:tcBorders>
              <w:top w:val="single" w:sz="8" w:space="0" w:color="auto"/>
              <w:left w:val="nil"/>
              <w:bottom w:val="single" w:sz="4" w:space="0" w:color="auto"/>
              <w:right w:val="single" w:sz="4" w:space="0" w:color="auto"/>
            </w:tcBorders>
            <w:shd w:val="clear" w:color="000000" w:fill="C0C0C0"/>
            <w:noWrap/>
            <w:vAlign w:val="center"/>
            <w:hideMark/>
          </w:tcPr>
          <w:p w14:paraId="45458716"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Existing Controls</w:t>
            </w:r>
          </w:p>
        </w:tc>
        <w:tc>
          <w:tcPr>
            <w:tcW w:w="938" w:type="dxa"/>
            <w:tcBorders>
              <w:top w:val="nil"/>
              <w:left w:val="nil"/>
              <w:bottom w:val="single" w:sz="4" w:space="0" w:color="auto"/>
              <w:right w:val="single" w:sz="4" w:space="0" w:color="auto"/>
            </w:tcBorders>
            <w:shd w:val="clear" w:color="000000" w:fill="C0C0C0"/>
            <w:noWrap/>
            <w:vAlign w:val="center"/>
            <w:hideMark/>
          </w:tcPr>
          <w:p w14:paraId="175C2E36"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S</w:t>
            </w:r>
          </w:p>
        </w:tc>
        <w:tc>
          <w:tcPr>
            <w:tcW w:w="811" w:type="dxa"/>
            <w:tcBorders>
              <w:top w:val="nil"/>
              <w:left w:val="nil"/>
              <w:bottom w:val="single" w:sz="4" w:space="0" w:color="auto"/>
              <w:right w:val="single" w:sz="4" w:space="0" w:color="auto"/>
            </w:tcBorders>
            <w:shd w:val="clear" w:color="000000" w:fill="C0C0C0"/>
            <w:noWrap/>
            <w:vAlign w:val="center"/>
            <w:hideMark/>
          </w:tcPr>
          <w:p w14:paraId="46659194"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L</w:t>
            </w:r>
          </w:p>
        </w:tc>
        <w:tc>
          <w:tcPr>
            <w:tcW w:w="1000" w:type="dxa"/>
            <w:tcBorders>
              <w:top w:val="nil"/>
              <w:left w:val="nil"/>
              <w:bottom w:val="single" w:sz="4" w:space="0" w:color="auto"/>
              <w:right w:val="single" w:sz="4" w:space="0" w:color="auto"/>
            </w:tcBorders>
            <w:shd w:val="clear" w:color="000000" w:fill="C0C0C0"/>
            <w:noWrap/>
            <w:vAlign w:val="center"/>
            <w:hideMark/>
          </w:tcPr>
          <w:p w14:paraId="418EAAF0"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R</w:t>
            </w:r>
          </w:p>
        </w:tc>
        <w:tc>
          <w:tcPr>
            <w:tcW w:w="4618" w:type="dxa"/>
            <w:gridSpan w:val="5"/>
            <w:tcBorders>
              <w:top w:val="single" w:sz="8" w:space="0" w:color="auto"/>
              <w:left w:val="nil"/>
              <w:bottom w:val="single" w:sz="4" w:space="0" w:color="auto"/>
              <w:right w:val="single" w:sz="4" w:space="0" w:color="auto"/>
            </w:tcBorders>
            <w:shd w:val="clear" w:color="000000" w:fill="C0C0C0"/>
            <w:noWrap/>
            <w:vAlign w:val="center"/>
            <w:hideMark/>
          </w:tcPr>
          <w:p w14:paraId="1940A0AB"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Further Controls Required</w:t>
            </w:r>
          </w:p>
        </w:tc>
        <w:tc>
          <w:tcPr>
            <w:tcW w:w="1976" w:type="dxa"/>
            <w:tcBorders>
              <w:top w:val="nil"/>
              <w:left w:val="nil"/>
              <w:bottom w:val="single" w:sz="4" w:space="0" w:color="auto"/>
              <w:right w:val="single" w:sz="4" w:space="0" w:color="auto"/>
            </w:tcBorders>
            <w:shd w:val="clear" w:color="000000" w:fill="C0C0C0"/>
            <w:noWrap/>
            <w:vAlign w:val="center"/>
            <w:hideMark/>
          </w:tcPr>
          <w:p w14:paraId="5F606DAD"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S</w:t>
            </w:r>
          </w:p>
        </w:tc>
        <w:tc>
          <w:tcPr>
            <w:tcW w:w="600" w:type="dxa"/>
            <w:tcBorders>
              <w:top w:val="nil"/>
              <w:left w:val="nil"/>
              <w:bottom w:val="single" w:sz="4" w:space="0" w:color="auto"/>
              <w:right w:val="single" w:sz="4" w:space="0" w:color="auto"/>
            </w:tcBorders>
            <w:shd w:val="clear" w:color="000000" w:fill="C0C0C0"/>
            <w:noWrap/>
            <w:vAlign w:val="center"/>
            <w:hideMark/>
          </w:tcPr>
          <w:p w14:paraId="115C7079"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L</w:t>
            </w:r>
          </w:p>
        </w:tc>
        <w:tc>
          <w:tcPr>
            <w:tcW w:w="600" w:type="dxa"/>
            <w:tcBorders>
              <w:top w:val="nil"/>
              <w:left w:val="nil"/>
              <w:bottom w:val="single" w:sz="4" w:space="0" w:color="auto"/>
              <w:right w:val="single" w:sz="8" w:space="0" w:color="auto"/>
            </w:tcBorders>
            <w:shd w:val="clear" w:color="000000" w:fill="C0C0C0"/>
            <w:noWrap/>
            <w:vAlign w:val="center"/>
            <w:hideMark/>
          </w:tcPr>
          <w:p w14:paraId="225397A4"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R</w:t>
            </w:r>
          </w:p>
        </w:tc>
      </w:tr>
      <w:tr w:rsidR="00963B55" w:rsidRPr="00963B55" w14:paraId="1AEE6970" w14:textId="77777777" w:rsidTr="00963B55">
        <w:trPr>
          <w:trHeight w:val="52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5892C775"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Stress</w:t>
            </w:r>
          </w:p>
        </w:tc>
        <w:tc>
          <w:tcPr>
            <w:tcW w:w="3990" w:type="dxa"/>
            <w:gridSpan w:val="3"/>
            <w:tcBorders>
              <w:top w:val="single" w:sz="4" w:space="0" w:color="auto"/>
              <w:left w:val="nil"/>
              <w:bottom w:val="single" w:sz="4" w:space="0" w:color="auto"/>
              <w:right w:val="single" w:sz="4" w:space="0" w:color="auto"/>
            </w:tcBorders>
            <w:shd w:val="clear" w:color="auto" w:fill="auto"/>
            <w:vAlign w:val="bottom"/>
            <w:hideMark/>
          </w:tcPr>
          <w:p w14:paraId="11FAB00B"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Where known offenders, policy determines staff should not act alone</w:t>
            </w:r>
          </w:p>
        </w:tc>
        <w:tc>
          <w:tcPr>
            <w:tcW w:w="938" w:type="dxa"/>
            <w:tcBorders>
              <w:top w:val="nil"/>
              <w:left w:val="nil"/>
              <w:bottom w:val="single" w:sz="4" w:space="0" w:color="auto"/>
              <w:right w:val="single" w:sz="4" w:space="0" w:color="auto"/>
            </w:tcBorders>
            <w:shd w:val="clear" w:color="auto" w:fill="auto"/>
            <w:noWrap/>
            <w:vAlign w:val="bottom"/>
            <w:hideMark/>
          </w:tcPr>
          <w:p w14:paraId="594055F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142F830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DC2A59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461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5884D4"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Specific Stress policy in school or for individual</w:t>
            </w:r>
          </w:p>
        </w:tc>
        <w:tc>
          <w:tcPr>
            <w:tcW w:w="1976" w:type="dxa"/>
            <w:tcBorders>
              <w:top w:val="nil"/>
              <w:left w:val="nil"/>
              <w:bottom w:val="single" w:sz="4" w:space="0" w:color="auto"/>
              <w:right w:val="single" w:sz="4" w:space="0" w:color="auto"/>
            </w:tcBorders>
            <w:shd w:val="clear" w:color="auto" w:fill="auto"/>
            <w:noWrap/>
            <w:vAlign w:val="bottom"/>
            <w:hideMark/>
          </w:tcPr>
          <w:p w14:paraId="71EC782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7CB5B46"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6F7948E5"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651620EB" w14:textId="77777777" w:rsidTr="00963B55">
        <w:trPr>
          <w:trHeight w:val="55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474FA50F"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xml:space="preserve">Reputation </w:t>
            </w:r>
          </w:p>
        </w:tc>
        <w:tc>
          <w:tcPr>
            <w:tcW w:w="3990" w:type="dxa"/>
            <w:gridSpan w:val="3"/>
            <w:tcBorders>
              <w:top w:val="single" w:sz="4" w:space="0" w:color="auto"/>
              <w:left w:val="nil"/>
              <w:bottom w:val="single" w:sz="4" w:space="0" w:color="auto"/>
              <w:right w:val="single" w:sz="4" w:space="0" w:color="000000"/>
            </w:tcBorders>
            <w:shd w:val="clear" w:color="auto" w:fill="auto"/>
            <w:vAlign w:val="bottom"/>
            <w:hideMark/>
          </w:tcPr>
          <w:p w14:paraId="557C1334"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xml:space="preserve">Staff informed of de-escalation techniques </w:t>
            </w:r>
          </w:p>
        </w:tc>
        <w:tc>
          <w:tcPr>
            <w:tcW w:w="938" w:type="dxa"/>
            <w:tcBorders>
              <w:top w:val="nil"/>
              <w:left w:val="nil"/>
              <w:bottom w:val="single" w:sz="4" w:space="0" w:color="auto"/>
              <w:right w:val="single" w:sz="4" w:space="0" w:color="auto"/>
            </w:tcBorders>
            <w:shd w:val="clear" w:color="auto" w:fill="auto"/>
            <w:noWrap/>
            <w:vAlign w:val="bottom"/>
            <w:hideMark/>
          </w:tcPr>
          <w:p w14:paraId="13F99B2B"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69C27BF6"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51A872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3265" w:type="dxa"/>
            <w:gridSpan w:val="3"/>
            <w:tcBorders>
              <w:top w:val="nil"/>
              <w:left w:val="nil"/>
              <w:bottom w:val="nil"/>
              <w:right w:val="nil"/>
            </w:tcBorders>
            <w:shd w:val="clear" w:color="auto" w:fill="auto"/>
            <w:noWrap/>
            <w:vAlign w:val="bottom"/>
            <w:hideMark/>
          </w:tcPr>
          <w:p w14:paraId="45C09806"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Training is made available to all staff</w:t>
            </w:r>
          </w:p>
        </w:tc>
        <w:tc>
          <w:tcPr>
            <w:tcW w:w="1120" w:type="dxa"/>
            <w:tcBorders>
              <w:top w:val="nil"/>
              <w:left w:val="nil"/>
              <w:bottom w:val="nil"/>
              <w:right w:val="nil"/>
            </w:tcBorders>
            <w:shd w:val="clear" w:color="auto" w:fill="auto"/>
            <w:noWrap/>
            <w:vAlign w:val="bottom"/>
            <w:hideMark/>
          </w:tcPr>
          <w:p w14:paraId="0894ED62" w14:textId="77777777" w:rsidR="00963B55" w:rsidRPr="00963B55" w:rsidRDefault="00963B55" w:rsidP="00963B55">
            <w:pPr>
              <w:spacing w:after="0" w:line="240" w:lineRule="auto"/>
              <w:ind w:left="0" w:firstLine="0"/>
              <w:rPr>
                <w:rFonts w:eastAsia="Times New Roman"/>
                <w:color w:val="auto"/>
                <w:sz w:val="20"/>
                <w:szCs w:val="20"/>
              </w:rPr>
            </w:pPr>
          </w:p>
        </w:tc>
        <w:tc>
          <w:tcPr>
            <w:tcW w:w="233" w:type="dxa"/>
            <w:tcBorders>
              <w:top w:val="nil"/>
              <w:left w:val="nil"/>
              <w:bottom w:val="nil"/>
              <w:right w:val="nil"/>
            </w:tcBorders>
            <w:shd w:val="clear" w:color="auto" w:fill="auto"/>
            <w:noWrap/>
            <w:vAlign w:val="bottom"/>
            <w:hideMark/>
          </w:tcPr>
          <w:p w14:paraId="54637BDA" w14:textId="77777777" w:rsidR="00963B55" w:rsidRPr="00963B55" w:rsidRDefault="00963B55" w:rsidP="00963B55">
            <w:pPr>
              <w:spacing w:after="0" w:line="240" w:lineRule="auto"/>
              <w:ind w:left="0" w:firstLine="0"/>
              <w:rPr>
                <w:rFonts w:ascii="Times New Roman" w:eastAsia="Times New Roman" w:hAnsi="Times New Roman" w:cs="Times New Roman"/>
                <w:color w:val="auto"/>
                <w:sz w:val="20"/>
                <w:szCs w:val="20"/>
              </w:rPr>
            </w:pPr>
          </w:p>
        </w:tc>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07933D54"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36A47EE8"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5FA55761"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0EFA28E6" w14:textId="77777777" w:rsidTr="00963B55">
        <w:trPr>
          <w:trHeight w:val="55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1CF9BACE"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Property damage to school</w:t>
            </w:r>
          </w:p>
        </w:tc>
        <w:tc>
          <w:tcPr>
            <w:tcW w:w="3990" w:type="dxa"/>
            <w:gridSpan w:val="3"/>
            <w:tcBorders>
              <w:top w:val="single" w:sz="4" w:space="0" w:color="auto"/>
              <w:left w:val="nil"/>
              <w:bottom w:val="single" w:sz="4" w:space="0" w:color="auto"/>
              <w:right w:val="single" w:sz="4" w:space="0" w:color="000000"/>
            </w:tcBorders>
            <w:shd w:val="clear" w:color="auto" w:fill="auto"/>
            <w:vAlign w:val="bottom"/>
            <w:hideMark/>
          </w:tcPr>
          <w:p w14:paraId="338025B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Ensure staffing levels are appropriate with levels of hierarchy</w:t>
            </w:r>
          </w:p>
        </w:tc>
        <w:tc>
          <w:tcPr>
            <w:tcW w:w="938" w:type="dxa"/>
            <w:tcBorders>
              <w:top w:val="nil"/>
              <w:left w:val="nil"/>
              <w:bottom w:val="single" w:sz="4" w:space="0" w:color="auto"/>
              <w:right w:val="single" w:sz="4" w:space="0" w:color="auto"/>
            </w:tcBorders>
            <w:shd w:val="clear" w:color="auto" w:fill="auto"/>
            <w:noWrap/>
            <w:vAlign w:val="bottom"/>
            <w:hideMark/>
          </w:tcPr>
          <w:p w14:paraId="56348047"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3729FB9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0A66503"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461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A7E2005" w14:textId="62D23370"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xml:space="preserve">Complaint policy and </w:t>
            </w:r>
            <w:r w:rsidR="00FE142D" w:rsidRPr="00963B55">
              <w:rPr>
                <w:rFonts w:eastAsia="Times New Roman"/>
                <w:color w:val="auto"/>
                <w:sz w:val="20"/>
                <w:szCs w:val="20"/>
              </w:rPr>
              <w:t>vexatious</w:t>
            </w:r>
            <w:r w:rsidRPr="00963B55">
              <w:rPr>
                <w:rFonts w:eastAsia="Times New Roman"/>
                <w:color w:val="auto"/>
                <w:sz w:val="20"/>
                <w:szCs w:val="20"/>
              </w:rPr>
              <w:t xml:space="preserve"> complaints policy</w:t>
            </w:r>
          </w:p>
        </w:tc>
        <w:tc>
          <w:tcPr>
            <w:tcW w:w="1976" w:type="dxa"/>
            <w:tcBorders>
              <w:top w:val="nil"/>
              <w:left w:val="nil"/>
              <w:bottom w:val="single" w:sz="4" w:space="0" w:color="auto"/>
              <w:right w:val="single" w:sz="4" w:space="0" w:color="auto"/>
            </w:tcBorders>
            <w:shd w:val="clear" w:color="auto" w:fill="auto"/>
            <w:noWrap/>
            <w:vAlign w:val="bottom"/>
            <w:hideMark/>
          </w:tcPr>
          <w:p w14:paraId="039F4A4B"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0F1D6FF"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28D1AD82"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7C07DB45" w14:textId="77777777" w:rsidTr="00963B55">
        <w:trPr>
          <w:trHeight w:val="510"/>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2DFFBCC6"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Personal damage/loss</w:t>
            </w:r>
          </w:p>
        </w:tc>
        <w:tc>
          <w:tcPr>
            <w:tcW w:w="3990" w:type="dxa"/>
            <w:gridSpan w:val="3"/>
            <w:tcBorders>
              <w:top w:val="single" w:sz="4" w:space="0" w:color="auto"/>
              <w:left w:val="nil"/>
              <w:bottom w:val="single" w:sz="4" w:space="0" w:color="auto"/>
              <w:right w:val="single" w:sz="4" w:space="0" w:color="000000"/>
            </w:tcBorders>
            <w:shd w:val="clear" w:color="auto" w:fill="auto"/>
            <w:vAlign w:val="bottom"/>
            <w:hideMark/>
          </w:tcPr>
          <w:p w14:paraId="46F9BAC4"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Following the Code of Conduct in school and correct use of facilities</w:t>
            </w:r>
          </w:p>
        </w:tc>
        <w:tc>
          <w:tcPr>
            <w:tcW w:w="938" w:type="dxa"/>
            <w:tcBorders>
              <w:top w:val="nil"/>
              <w:left w:val="nil"/>
              <w:bottom w:val="single" w:sz="4" w:space="0" w:color="auto"/>
              <w:right w:val="single" w:sz="4" w:space="0" w:color="auto"/>
            </w:tcBorders>
            <w:shd w:val="clear" w:color="auto" w:fill="auto"/>
            <w:noWrap/>
            <w:vAlign w:val="bottom"/>
            <w:hideMark/>
          </w:tcPr>
          <w:p w14:paraId="757ECBF0"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1C62B51E"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1CB0E5A"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4618" w:type="dxa"/>
            <w:gridSpan w:val="5"/>
            <w:tcBorders>
              <w:top w:val="single" w:sz="4" w:space="0" w:color="auto"/>
              <w:left w:val="nil"/>
              <w:bottom w:val="single" w:sz="4" w:space="0" w:color="auto"/>
              <w:right w:val="single" w:sz="4" w:space="0" w:color="000000"/>
            </w:tcBorders>
            <w:shd w:val="clear" w:color="auto" w:fill="auto"/>
            <w:vAlign w:val="bottom"/>
            <w:hideMark/>
          </w:tcPr>
          <w:p w14:paraId="35F24CFE"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CCTV and security</w:t>
            </w:r>
          </w:p>
        </w:tc>
        <w:tc>
          <w:tcPr>
            <w:tcW w:w="1976" w:type="dxa"/>
            <w:tcBorders>
              <w:top w:val="nil"/>
              <w:left w:val="nil"/>
              <w:bottom w:val="single" w:sz="4" w:space="0" w:color="auto"/>
              <w:right w:val="single" w:sz="4" w:space="0" w:color="auto"/>
            </w:tcBorders>
            <w:shd w:val="clear" w:color="auto" w:fill="auto"/>
            <w:noWrap/>
            <w:vAlign w:val="bottom"/>
            <w:hideMark/>
          </w:tcPr>
          <w:p w14:paraId="2B806BE4"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8B7C578"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3D1F7CE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4822DE7C" w14:textId="77777777" w:rsidTr="00963B55">
        <w:trPr>
          <w:trHeight w:val="58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5473E418"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Physical injury</w:t>
            </w:r>
          </w:p>
        </w:tc>
        <w:tc>
          <w:tcPr>
            <w:tcW w:w="39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D025AA3"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 xml:space="preserve">Staff informed of de-escalation techniques and observance of </w:t>
            </w:r>
            <w:proofErr w:type="gramStart"/>
            <w:r w:rsidRPr="00963B55">
              <w:rPr>
                <w:rFonts w:eastAsia="Times New Roman"/>
                <w:color w:val="auto"/>
                <w:sz w:val="20"/>
                <w:szCs w:val="20"/>
              </w:rPr>
              <w:t>schools</w:t>
            </w:r>
            <w:proofErr w:type="gramEnd"/>
            <w:r w:rsidRPr="00963B55">
              <w:rPr>
                <w:rFonts w:eastAsia="Times New Roman"/>
                <w:color w:val="auto"/>
                <w:sz w:val="20"/>
                <w:szCs w:val="20"/>
              </w:rPr>
              <w:t xml:space="preserve"> policies and protocols e.g.  Positive Handling, Lone Working    Consider o</w:t>
            </w:r>
            <w:r>
              <w:rPr>
                <w:rFonts w:eastAsia="Times New Roman"/>
                <w:color w:val="auto"/>
                <w:sz w:val="20"/>
                <w:szCs w:val="20"/>
              </w:rPr>
              <w:t xml:space="preserve">wn body language and ensure non- </w:t>
            </w:r>
            <w:r w:rsidRPr="00963B55">
              <w:rPr>
                <w:rFonts w:eastAsia="Times New Roman"/>
                <w:color w:val="auto"/>
                <w:sz w:val="20"/>
                <w:szCs w:val="20"/>
              </w:rPr>
              <w:t>confrontational</w:t>
            </w:r>
          </w:p>
        </w:tc>
        <w:tc>
          <w:tcPr>
            <w:tcW w:w="938" w:type="dxa"/>
            <w:tcBorders>
              <w:top w:val="nil"/>
              <w:left w:val="nil"/>
              <w:bottom w:val="single" w:sz="4" w:space="0" w:color="auto"/>
              <w:right w:val="single" w:sz="4" w:space="0" w:color="auto"/>
            </w:tcBorders>
            <w:shd w:val="clear" w:color="auto" w:fill="auto"/>
            <w:noWrap/>
            <w:vAlign w:val="bottom"/>
            <w:hideMark/>
          </w:tcPr>
          <w:p w14:paraId="5E5C0AF6"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0C1D6101"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E1F0A7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461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7E1BD1D" w14:textId="0DF07434"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 xml:space="preserve">Staff should be aware of the environment and possible hazards within it e.g.  Objects easily thrown/ Lanyards      Team </w:t>
            </w:r>
            <w:r w:rsidR="00FE142D">
              <w:rPr>
                <w:rFonts w:eastAsia="Times New Roman"/>
                <w:color w:val="auto"/>
                <w:sz w:val="20"/>
                <w:szCs w:val="20"/>
              </w:rPr>
              <w:t>T</w:t>
            </w:r>
            <w:r w:rsidRPr="00963B55">
              <w:rPr>
                <w:rFonts w:eastAsia="Times New Roman"/>
                <w:color w:val="auto"/>
                <w:sz w:val="20"/>
                <w:szCs w:val="20"/>
              </w:rPr>
              <w:t>each techniques to be applied.</w:t>
            </w:r>
          </w:p>
        </w:tc>
        <w:tc>
          <w:tcPr>
            <w:tcW w:w="1976" w:type="dxa"/>
            <w:tcBorders>
              <w:top w:val="nil"/>
              <w:left w:val="nil"/>
              <w:bottom w:val="single" w:sz="4" w:space="0" w:color="auto"/>
              <w:right w:val="single" w:sz="4" w:space="0" w:color="auto"/>
            </w:tcBorders>
            <w:shd w:val="clear" w:color="auto" w:fill="auto"/>
            <w:noWrap/>
            <w:vAlign w:val="bottom"/>
            <w:hideMark/>
          </w:tcPr>
          <w:p w14:paraId="5A20F6B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3DA5F458"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229BA558"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7AD5BEB5" w14:textId="77777777" w:rsidTr="00963B55">
        <w:trPr>
          <w:trHeight w:val="64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7CBE19C1" w14:textId="32886A0B"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xml:space="preserve">Dealing with </w:t>
            </w:r>
            <w:r w:rsidR="00FE142D" w:rsidRPr="00963B55">
              <w:rPr>
                <w:rFonts w:eastAsia="Times New Roman"/>
                <w:color w:val="auto"/>
                <w:sz w:val="20"/>
                <w:szCs w:val="20"/>
              </w:rPr>
              <w:t>aggrieved</w:t>
            </w:r>
            <w:r w:rsidRPr="00963B55">
              <w:rPr>
                <w:rFonts w:eastAsia="Times New Roman"/>
                <w:color w:val="auto"/>
                <w:sz w:val="20"/>
                <w:szCs w:val="20"/>
              </w:rPr>
              <w:t xml:space="preserve"> / irate adult</w:t>
            </w:r>
          </w:p>
        </w:tc>
        <w:tc>
          <w:tcPr>
            <w:tcW w:w="3990" w:type="dxa"/>
            <w:gridSpan w:val="3"/>
            <w:vMerge/>
            <w:tcBorders>
              <w:top w:val="nil"/>
              <w:left w:val="single" w:sz="8" w:space="0" w:color="auto"/>
              <w:bottom w:val="single" w:sz="4" w:space="0" w:color="auto"/>
              <w:right w:val="single" w:sz="4" w:space="0" w:color="auto"/>
            </w:tcBorders>
            <w:vAlign w:val="center"/>
            <w:hideMark/>
          </w:tcPr>
          <w:p w14:paraId="23EEF1BC" w14:textId="77777777" w:rsidR="00963B55" w:rsidRPr="00963B55" w:rsidRDefault="00963B55" w:rsidP="00963B55">
            <w:pPr>
              <w:spacing w:after="0" w:line="240" w:lineRule="auto"/>
              <w:ind w:left="0" w:firstLine="0"/>
              <w:rPr>
                <w:rFonts w:eastAsia="Times New Roman"/>
                <w:color w:val="auto"/>
                <w:sz w:val="20"/>
                <w:szCs w:val="20"/>
              </w:rPr>
            </w:pPr>
          </w:p>
        </w:tc>
        <w:tc>
          <w:tcPr>
            <w:tcW w:w="938" w:type="dxa"/>
            <w:tcBorders>
              <w:top w:val="nil"/>
              <w:left w:val="nil"/>
              <w:bottom w:val="single" w:sz="4" w:space="0" w:color="auto"/>
              <w:right w:val="single" w:sz="4" w:space="0" w:color="auto"/>
            </w:tcBorders>
            <w:shd w:val="clear" w:color="auto" w:fill="auto"/>
            <w:noWrap/>
            <w:vAlign w:val="bottom"/>
            <w:hideMark/>
          </w:tcPr>
          <w:p w14:paraId="20BC6D13"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77B13915"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4E7C9E5"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4618" w:type="dxa"/>
            <w:gridSpan w:val="5"/>
            <w:vMerge/>
            <w:tcBorders>
              <w:top w:val="nil"/>
              <w:left w:val="nil"/>
              <w:bottom w:val="single" w:sz="4" w:space="0" w:color="auto"/>
              <w:right w:val="single" w:sz="4" w:space="0" w:color="auto"/>
            </w:tcBorders>
            <w:vAlign w:val="center"/>
            <w:hideMark/>
          </w:tcPr>
          <w:p w14:paraId="2B394C5B" w14:textId="77777777" w:rsidR="00963B55" w:rsidRPr="00963B55" w:rsidRDefault="00963B55" w:rsidP="00963B55">
            <w:pPr>
              <w:spacing w:after="0" w:line="240" w:lineRule="auto"/>
              <w:ind w:left="0" w:firstLine="0"/>
              <w:rPr>
                <w:rFonts w:eastAsia="Times New Roman"/>
                <w:color w:val="auto"/>
                <w:sz w:val="20"/>
                <w:szCs w:val="20"/>
              </w:rPr>
            </w:pPr>
          </w:p>
        </w:tc>
        <w:tc>
          <w:tcPr>
            <w:tcW w:w="1976" w:type="dxa"/>
            <w:tcBorders>
              <w:top w:val="nil"/>
              <w:left w:val="nil"/>
              <w:bottom w:val="single" w:sz="4" w:space="0" w:color="auto"/>
              <w:right w:val="single" w:sz="4" w:space="0" w:color="auto"/>
            </w:tcBorders>
            <w:shd w:val="clear" w:color="auto" w:fill="auto"/>
            <w:noWrap/>
            <w:vAlign w:val="bottom"/>
            <w:hideMark/>
          </w:tcPr>
          <w:p w14:paraId="503303B1"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02185D3"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3117D867"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10BEC919" w14:textId="77777777" w:rsidTr="00963B55">
        <w:trPr>
          <w:trHeight w:val="49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7502170B"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Dealing with known substance misuser</w:t>
            </w:r>
          </w:p>
        </w:tc>
        <w:tc>
          <w:tcPr>
            <w:tcW w:w="3990" w:type="dxa"/>
            <w:gridSpan w:val="3"/>
            <w:vMerge/>
            <w:tcBorders>
              <w:top w:val="nil"/>
              <w:left w:val="single" w:sz="8" w:space="0" w:color="auto"/>
              <w:bottom w:val="single" w:sz="4" w:space="0" w:color="auto"/>
              <w:right w:val="single" w:sz="4" w:space="0" w:color="auto"/>
            </w:tcBorders>
            <w:vAlign w:val="center"/>
            <w:hideMark/>
          </w:tcPr>
          <w:p w14:paraId="6C3AF369" w14:textId="77777777" w:rsidR="00963B55" w:rsidRPr="00963B55" w:rsidRDefault="00963B55" w:rsidP="00963B55">
            <w:pPr>
              <w:spacing w:after="0" w:line="240" w:lineRule="auto"/>
              <w:ind w:left="0" w:firstLine="0"/>
              <w:rPr>
                <w:rFonts w:eastAsia="Times New Roman"/>
                <w:color w:val="auto"/>
                <w:sz w:val="20"/>
                <w:szCs w:val="20"/>
              </w:rPr>
            </w:pPr>
          </w:p>
        </w:tc>
        <w:tc>
          <w:tcPr>
            <w:tcW w:w="938" w:type="dxa"/>
            <w:tcBorders>
              <w:top w:val="nil"/>
              <w:left w:val="nil"/>
              <w:bottom w:val="single" w:sz="4" w:space="0" w:color="auto"/>
              <w:right w:val="single" w:sz="4" w:space="0" w:color="auto"/>
            </w:tcBorders>
            <w:shd w:val="clear" w:color="auto" w:fill="auto"/>
            <w:noWrap/>
            <w:vAlign w:val="bottom"/>
            <w:hideMark/>
          </w:tcPr>
          <w:p w14:paraId="2C98EB12"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017EE8F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CBCBE0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4618" w:type="dxa"/>
            <w:gridSpan w:val="5"/>
            <w:vMerge/>
            <w:tcBorders>
              <w:top w:val="nil"/>
              <w:left w:val="nil"/>
              <w:bottom w:val="single" w:sz="4" w:space="0" w:color="auto"/>
              <w:right w:val="single" w:sz="4" w:space="0" w:color="auto"/>
            </w:tcBorders>
            <w:vAlign w:val="center"/>
            <w:hideMark/>
          </w:tcPr>
          <w:p w14:paraId="6FD3BC88" w14:textId="77777777" w:rsidR="00963B55" w:rsidRPr="00963B55" w:rsidRDefault="00963B55" w:rsidP="00963B55">
            <w:pPr>
              <w:spacing w:after="0" w:line="240" w:lineRule="auto"/>
              <w:ind w:left="0" w:firstLine="0"/>
              <w:rPr>
                <w:rFonts w:eastAsia="Times New Roman"/>
                <w:color w:val="auto"/>
                <w:sz w:val="20"/>
                <w:szCs w:val="20"/>
              </w:rPr>
            </w:pPr>
          </w:p>
        </w:tc>
        <w:tc>
          <w:tcPr>
            <w:tcW w:w="1976" w:type="dxa"/>
            <w:tcBorders>
              <w:top w:val="nil"/>
              <w:left w:val="nil"/>
              <w:bottom w:val="single" w:sz="4" w:space="0" w:color="auto"/>
              <w:right w:val="single" w:sz="4" w:space="0" w:color="auto"/>
            </w:tcBorders>
            <w:shd w:val="clear" w:color="auto" w:fill="auto"/>
            <w:noWrap/>
            <w:vAlign w:val="bottom"/>
            <w:hideMark/>
          </w:tcPr>
          <w:p w14:paraId="28F4A19F"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4BE9201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4981B9B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7330A9AA" w14:textId="77777777" w:rsidTr="00963B55">
        <w:trPr>
          <w:trHeight w:val="402"/>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0235843A"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Adults with history of mental health issues</w:t>
            </w:r>
          </w:p>
        </w:tc>
        <w:tc>
          <w:tcPr>
            <w:tcW w:w="3990" w:type="dxa"/>
            <w:gridSpan w:val="3"/>
            <w:vMerge/>
            <w:tcBorders>
              <w:top w:val="nil"/>
              <w:left w:val="single" w:sz="8" w:space="0" w:color="auto"/>
              <w:bottom w:val="single" w:sz="4" w:space="0" w:color="auto"/>
              <w:right w:val="single" w:sz="4" w:space="0" w:color="auto"/>
            </w:tcBorders>
            <w:vAlign w:val="center"/>
            <w:hideMark/>
          </w:tcPr>
          <w:p w14:paraId="5A1E44C4" w14:textId="77777777" w:rsidR="00963B55" w:rsidRPr="00963B55" w:rsidRDefault="00963B55" w:rsidP="00963B55">
            <w:pPr>
              <w:spacing w:after="0" w:line="240" w:lineRule="auto"/>
              <w:ind w:left="0" w:firstLine="0"/>
              <w:rPr>
                <w:rFonts w:eastAsia="Times New Roman"/>
                <w:color w:val="auto"/>
                <w:sz w:val="20"/>
                <w:szCs w:val="20"/>
              </w:rPr>
            </w:pPr>
          </w:p>
        </w:tc>
        <w:tc>
          <w:tcPr>
            <w:tcW w:w="938" w:type="dxa"/>
            <w:tcBorders>
              <w:top w:val="nil"/>
              <w:left w:val="nil"/>
              <w:bottom w:val="single" w:sz="4" w:space="0" w:color="auto"/>
              <w:right w:val="single" w:sz="4" w:space="0" w:color="auto"/>
            </w:tcBorders>
            <w:shd w:val="clear" w:color="auto" w:fill="auto"/>
            <w:noWrap/>
            <w:vAlign w:val="bottom"/>
            <w:hideMark/>
          </w:tcPr>
          <w:p w14:paraId="5640E6A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12DE52AB"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616191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4618" w:type="dxa"/>
            <w:gridSpan w:val="5"/>
            <w:vMerge/>
            <w:tcBorders>
              <w:top w:val="nil"/>
              <w:left w:val="nil"/>
              <w:bottom w:val="single" w:sz="4" w:space="0" w:color="auto"/>
              <w:right w:val="single" w:sz="4" w:space="0" w:color="auto"/>
            </w:tcBorders>
            <w:vAlign w:val="center"/>
            <w:hideMark/>
          </w:tcPr>
          <w:p w14:paraId="48CDD003" w14:textId="77777777" w:rsidR="00963B55" w:rsidRPr="00963B55" w:rsidRDefault="00963B55" w:rsidP="00963B55">
            <w:pPr>
              <w:spacing w:after="0" w:line="240" w:lineRule="auto"/>
              <w:ind w:left="0" w:firstLine="0"/>
              <w:rPr>
                <w:rFonts w:eastAsia="Times New Roman"/>
                <w:color w:val="auto"/>
                <w:sz w:val="20"/>
                <w:szCs w:val="20"/>
              </w:rPr>
            </w:pPr>
          </w:p>
        </w:tc>
        <w:tc>
          <w:tcPr>
            <w:tcW w:w="1976" w:type="dxa"/>
            <w:tcBorders>
              <w:top w:val="nil"/>
              <w:left w:val="nil"/>
              <w:bottom w:val="single" w:sz="4" w:space="0" w:color="auto"/>
              <w:right w:val="single" w:sz="4" w:space="0" w:color="auto"/>
            </w:tcBorders>
            <w:shd w:val="clear" w:color="auto" w:fill="auto"/>
            <w:noWrap/>
            <w:vAlign w:val="bottom"/>
            <w:hideMark/>
          </w:tcPr>
          <w:p w14:paraId="1AB1EDB7"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36F94B2A"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14C56141"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7775EC5A" w14:textId="77777777" w:rsidTr="00963B55">
        <w:trPr>
          <w:trHeight w:val="402"/>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14:paraId="2CE9E1A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Other</w:t>
            </w:r>
          </w:p>
        </w:tc>
        <w:tc>
          <w:tcPr>
            <w:tcW w:w="3990" w:type="dxa"/>
            <w:gridSpan w:val="3"/>
            <w:tcBorders>
              <w:top w:val="single" w:sz="4" w:space="0" w:color="auto"/>
              <w:left w:val="nil"/>
              <w:bottom w:val="single" w:sz="4" w:space="0" w:color="auto"/>
              <w:right w:val="single" w:sz="4" w:space="0" w:color="auto"/>
            </w:tcBorders>
            <w:shd w:val="clear" w:color="auto" w:fill="auto"/>
            <w:vAlign w:val="bottom"/>
            <w:hideMark/>
          </w:tcPr>
          <w:p w14:paraId="2382D076"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14:paraId="6C83FDF4"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811" w:type="dxa"/>
            <w:tcBorders>
              <w:top w:val="nil"/>
              <w:left w:val="nil"/>
              <w:bottom w:val="single" w:sz="4" w:space="0" w:color="auto"/>
              <w:right w:val="single" w:sz="4" w:space="0" w:color="auto"/>
            </w:tcBorders>
            <w:shd w:val="clear" w:color="auto" w:fill="auto"/>
            <w:noWrap/>
            <w:vAlign w:val="bottom"/>
            <w:hideMark/>
          </w:tcPr>
          <w:p w14:paraId="1EB2779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FA2E918"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461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D5269E"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976" w:type="dxa"/>
            <w:tcBorders>
              <w:top w:val="nil"/>
              <w:left w:val="nil"/>
              <w:bottom w:val="single" w:sz="4" w:space="0" w:color="auto"/>
              <w:right w:val="single" w:sz="4" w:space="0" w:color="auto"/>
            </w:tcBorders>
            <w:shd w:val="clear" w:color="auto" w:fill="auto"/>
            <w:noWrap/>
            <w:vAlign w:val="bottom"/>
            <w:hideMark/>
          </w:tcPr>
          <w:p w14:paraId="773760A0"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2282C32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0D86624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4BC3914A" w14:textId="77777777" w:rsidTr="00963B55">
        <w:trPr>
          <w:trHeight w:val="300"/>
        </w:trPr>
        <w:tc>
          <w:tcPr>
            <w:tcW w:w="3965" w:type="dxa"/>
            <w:tcBorders>
              <w:top w:val="nil"/>
              <w:left w:val="single" w:sz="8" w:space="0" w:color="auto"/>
              <w:bottom w:val="nil"/>
              <w:right w:val="single" w:sz="4" w:space="0" w:color="auto"/>
            </w:tcBorders>
            <w:shd w:val="clear" w:color="auto" w:fill="auto"/>
            <w:noWrap/>
            <w:vAlign w:val="center"/>
            <w:hideMark/>
          </w:tcPr>
          <w:p w14:paraId="01F9245F" w14:textId="77777777" w:rsidR="00963B55" w:rsidRPr="00963B55" w:rsidRDefault="00963B55" w:rsidP="00963B55">
            <w:pPr>
              <w:spacing w:after="0" w:line="240" w:lineRule="auto"/>
              <w:ind w:left="0" w:firstLine="0"/>
              <w:jc w:val="right"/>
              <w:rPr>
                <w:rFonts w:eastAsia="Times New Roman"/>
                <w:color w:val="auto"/>
                <w:sz w:val="20"/>
                <w:szCs w:val="20"/>
              </w:rPr>
            </w:pPr>
            <w:r w:rsidRPr="00963B55">
              <w:rPr>
                <w:rFonts w:eastAsia="Times New Roman"/>
                <w:color w:val="auto"/>
                <w:sz w:val="20"/>
                <w:szCs w:val="20"/>
              </w:rPr>
              <w:t>KEY:</w:t>
            </w:r>
          </w:p>
        </w:tc>
        <w:tc>
          <w:tcPr>
            <w:tcW w:w="14533" w:type="dxa"/>
            <w:gridSpan w:val="14"/>
            <w:tcBorders>
              <w:top w:val="nil"/>
              <w:left w:val="nil"/>
              <w:bottom w:val="nil"/>
              <w:right w:val="single" w:sz="8" w:space="0" w:color="000000"/>
            </w:tcBorders>
            <w:shd w:val="clear" w:color="auto" w:fill="auto"/>
            <w:noWrap/>
            <w:vAlign w:val="center"/>
            <w:hideMark/>
          </w:tcPr>
          <w:p w14:paraId="4DF504BC" w14:textId="77777777" w:rsidR="00963B55" w:rsidRPr="00963B55" w:rsidRDefault="00963B55" w:rsidP="00963B55">
            <w:pPr>
              <w:spacing w:after="0" w:line="240" w:lineRule="auto"/>
              <w:ind w:left="0" w:firstLine="0"/>
              <w:rPr>
                <w:rFonts w:eastAsia="Times New Roman"/>
                <w:b/>
                <w:bCs/>
                <w:color w:val="auto"/>
                <w:sz w:val="20"/>
                <w:szCs w:val="20"/>
              </w:rPr>
            </w:pPr>
            <w:r w:rsidRPr="00963B55">
              <w:rPr>
                <w:rFonts w:eastAsia="Times New Roman"/>
                <w:b/>
                <w:bCs/>
                <w:color w:val="auto"/>
                <w:sz w:val="20"/>
                <w:szCs w:val="20"/>
              </w:rPr>
              <w:t>S</w:t>
            </w:r>
            <w:r w:rsidRPr="00963B55">
              <w:rPr>
                <w:rFonts w:eastAsia="Times New Roman"/>
                <w:color w:val="auto"/>
                <w:sz w:val="20"/>
                <w:szCs w:val="20"/>
              </w:rPr>
              <w:t xml:space="preserve"> = Severity  </w:t>
            </w:r>
            <w:r w:rsidRPr="00963B55">
              <w:rPr>
                <w:rFonts w:eastAsia="Times New Roman"/>
                <w:color w:val="auto"/>
                <w:sz w:val="16"/>
                <w:szCs w:val="16"/>
              </w:rPr>
              <w:t xml:space="preserve"> </w:t>
            </w:r>
            <w:r w:rsidRPr="00963B55">
              <w:rPr>
                <w:rFonts w:eastAsia="Times New Roman"/>
                <w:color w:val="auto"/>
                <w:sz w:val="20"/>
                <w:szCs w:val="20"/>
              </w:rPr>
              <w:t xml:space="preserve">  - </w:t>
            </w:r>
            <w:r w:rsidRPr="00963B55">
              <w:rPr>
                <w:rFonts w:eastAsia="Times New Roman"/>
                <w:b/>
                <w:bCs/>
                <w:color w:val="auto"/>
                <w:sz w:val="20"/>
                <w:szCs w:val="20"/>
              </w:rPr>
              <w:t>1,</w:t>
            </w:r>
            <w:r w:rsidRPr="00963B55">
              <w:rPr>
                <w:rFonts w:eastAsia="Times New Roman"/>
                <w:color w:val="auto"/>
                <w:sz w:val="20"/>
                <w:szCs w:val="20"/>
              </w:rPr>
              <w:t xml:space="preserve"> First Aid </w:t>
            </w:r>
            <w:r w:rsidRPr="00963B55">
              <w:rPr>
                <w:rFonts w:eastAsia="Times New Roman"/>
                <w:b/>
                <w:bCs/>
                <w:color w:val="auto"/>
                <w:sz w:val="20"/>
                <w:szCs w:val="20"/>
              </w:rPr>
              <w:t>2,</w:t>
            </w:r>
            <w:r w:rsidRPr="00963B55">
              <w:rPr>
                <w:rFonts w:eastAsia="Times New Roman"/>
                <w:color w:val="auto"/>
                <w:sz w:val="20"/>
                <w:szCs w:val="20"/>
              </w:rPr>
              <w:t xml:space="preserve"> Reportable </w:t>
            </w:r>
            <w:r w:rsidRPr="00963B55">
              <w:rPr>
                <w:rFonts w:eastAsia="Times New Roman"/>
                <w:b/>
                <w:bCs/>
                <w:color w:val="auto"/>
                <w:sz w:val="20"/>
                <w:szCs w:val="20"/>
              </w:rPr>
              <w:t>3,</w:t>
            </w:r>
            <w:r w:rsidRPr="00963B55">
              <w:rPr>
                <w:rFonts w:eastAsia="Times New Roman"/>
                <w:color w:val="auto"/>
                <w:sz w:val="20"/>
                <w:szCs w:val="20"/>
              </w:rPr>
              <w:t xml:space="preserve"> Permanent Disability </w:t>
            </w:r>
            <w:r w:rsidRPr="00963B55">
              <w:rPr>
                <w:rFonts w:eastAsia="Times New Roman"/>
                <w:b/>
                <w:bCs/>
                <w:color w:val="auto"/>
                <w:sz w:val="20"/>
                <w:szCs w:val="20"/>
              </w:rPr>
              <w:t>4,</w:t>
            </w:r>
            <w:r w:rsidRPr="00963B55">
              <w:rPr>
                <w:rFonts w:eastAsia="Times New Roman"/>
                <w:color w:val="auto"/>
                <w:sz w:val="20"/>
                <w:szCs w:val="20"/>
              </w:rPr>
              <w:t xml:space="preserve"> Fatality </w:t>
            </w:r>
            <w:r w:rsidRPr="00963B55">
              <w:rPr>
                <w:rFonts w:eastAsia="Times New Roman"/>
                <w:b/>
                <w:bCs/>
                <w:color w:val="auto"/>
                <w:sz w:val="20"/>
                <w:szCs w:val="20"/>
              </w:rPr>
              <w:t>5,</w:t>
            </w:r>
            <w:r w:rsidRPr="00963B55">
              <w:rPr>
                <w:rFonts w:eastAsia="Times New Roman"/>
                <w:color w:val="auto"/>
                <w:sz w:val="20"/>
                <w:szCs w:val="20"/>
              </w:rPr>
              <w:t xml:space="preserve"> Multiple Fatality</w:t>
            </w:r>
          </w:p>
        </w:tc>
      </w:tr>
      <w:tr w:rsidR="00963B55" w:rsidRPr="00963B55" w14:paraId="10D0C160" w14:textId="77777777" w:rsidTr="00963B55">
        <w:trPr>
          <w:trHeight w:val="300"/>
        </w:trPr>
        <w:tc>
          <w:tcPr>
            <w:tcW w:w="3965" w:type="dxa"/>
            <w:tcBorders>
              <w:top w:val="nil"/>
              <w:left w:val="single" w:sz="8" w:space="0" w:color="auto"/>
              <w:bottom w:val="nil"/>
              <w:right w:val="single" w:sz="4" w:space="0" w:color="auto"/>
            </w:tcBorders>
            <w:shd w:val="clear" w:color="auto" w:fill="auto"/>
            <w:noWrap/>
            <w:vAlign w:val="center"/>
            <w:hideMark/>
          </w:tcPr>
          <w:p w14:paraId="28A9B16E"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4533" w:type="dxa"/>
            <w:gridSpan w:val="14"/>
            <w:tcBorders>
              <w:top w:val="nil"/>
              <w:left w:val="nil"/>
              <w:bottom w:val="nil"/>
              <w:right w:val="single" w:sz="8" w:space="0" w:color="000000"/>
            </w:tcBorders>
            <w:shd w:val="clear" w:color="auto" w:fill="auto"/>
            <w:noWrap/>
            <w:vAlign w:val="center"/>
            <w:hideMark/>
          </w:tcPr>
          <w:p w14:paraId="110891DF" w14:textId="77777777" w:rsidR="00963B55" w:rsidRPr="00963B55" w:rsidRDefault="00963B55" w:rsidP="00963B55">
            <w:pPr>
              <w:spacing w:after="0" w:line="240" w:lineRule="auto"/>
              <w:ind w:left="0" w:firstLine="0"/>
              <w:rPr>
                <w:rFonts w:eastAsia="Times New Roman"/>
                <w:b/>
                <w:bCs/>
                <w:color w:val="auto"/>
                <w:sz w:val="20"/>
                <w:szCs w:val="20"/>
              </w:rPr>
            </w:pPr>
            <w:r w:rsidRPr="00963B55">
              <w:rPr>
                <w:rFonts w:eastAsia="Times New Roman"/>
                <w:b/>
                <w:bCs/>
                <w:color w:val="auto"/>
                <w:sz w:val="20"/>
                <w:szCs w:val="20"/>
              </w:rPr>
              <w:t>L</w:t>
            </w:r>
            <w:r w:rsidRPr="00963B55">
              <w:rPr>
                <w:rFonts w:eastAsia="Times New Roman"/>
                <w:color w:val="auto"/>
                <w:sz w:val="20"/>
                <w:szCs w:val="20"/>
              </w:rPr>
              <w:t xml:space="preserve"> = </w:t>
            </w:r>
            <w:proofErr w:type="gramStart"/>
            <w:r w:rsidRPr="00963B55">
              <w:rPr>
                <w:rFonts w:eastAsia="Times New Roman"/>
                <w:color w:val="auto"/>
                <w:sz w:val="20"/>
                <w:szCs w:val="20"/>
              </w:rPr>
              <w:t>Likelihood  -</w:t>
            </w:r>
            <w:proofErr w:type="gramEnd"/>
            <w:r w:rsidRPr="00963B55">
              <w:rPr>
                <w:rFonts w:eastAsia="Times New Roman"/>
                <w:color w:val="auto"/>
                <w:sz w:val="20"/>
                <w:szCs w:val="20"/>
              </w:rPr>
              <w:t xml:space="preserve"> </w:t>
            </w:r>
            <w:r w:rsidRPr="00963B55">
              <w:rPr>
                <w:rFonts w:eastAsia="Times New Roman"/>
                <w:b/>
                <w:bCs/>
                <w:color w:val="auto"/>
                <w:sz w:val="20"/>
                <w:szCs w:val="20"/>
              </w:rPr>
              <w:t>1,</w:t>
            </w:r>
            <w:r w:rsidRPr="00963B55">
              <w:rPr>
                <w:rFonts w:eastAsia="Times New Roman"/>
                <w:color w:val="auto"/>
                <w:sz w:val="20"/>
                <w:szCs w:val="20"/>
              </w:rPr>
              <w:t xml:space="preserve"> Negligible </w:t>
            </w:r>
            <w:r w:rsidRPr="00963B55">
              <w:rPr>
                <w:rFonts w:eastAsia="Times New Roman"/>
                <w:b/>
                <w:bCs/>
                <w:color w:val="auto"/>
                <w:sz w:val="20"/>
                <w:szCs w:val="20"/>
              </w:rPr>
              <w:t>2,</w:t>
            </w:r>
            <w:r w:rsidRPr="00963B55">
              <w:rPr>
                <w:rFonts w:eastAsia="Times New Roman"/>
                <w:color w:val="auto"/>
                <w:sz w:val="20"/>
                <w:szCs w:val="20"/>
              </w:rPr>
              <w:t xml:space="preserve"> Low but possible </w:t>
            </w:r>
            <w:r w:rsidRPr="00963B55">
              <w:rPr>
                <w:rFonts w:eastAsia="Times New Roman"/>
                <w:b/>
                <w:bCs/>
                <w:color w:val="auto"/>
                <w:sz w:val="20"/>
                <w:szCs w:val="20"/>
              </w:rPr>
              <w:t>3,</w:t>
            </w:r>
            <w:r w:rsidRPr="00963B55">
              <w:rPr>
                <w:rFonts w:eastAsia="Times New Roman"/>
                <w:color w:val="auto"/>
                <w:sz w:val="20"/>
                <w:szCs w:val="20"/>
              </w:rPr>
              <w:t xml:space="preserve"> Possible but not likely </w:t>
            </w:r>
            <w:r w:rsidRPr="00963B55">
              <w:rPr>
                <w:rFonts w:eastAsia="Times New Roman"/>
                <w:b/>
                <w:bCs/>
                <w:color w:val="auto"/>
                <w:sz w:val="20"/>
                <w:szCs w:val="20"/>
              </w:rPr>
              <w:t xml:space="preserve">4, </w:t>
            </w:r>
            <w:r w:rsidRPr="00963B55">
              <w:rPr>
                <w:rFonts w:eastAsia="Times New Roman"/>
                <w:color w:val="auto"/>
                <w:sz w:val="20"/>
                <w:szCs w:val="20"/>
              </w:rPr>
              <w:t xml:space="preserve">Probable </w:t>
            </w:r>
            <w:r w:rsidRPr="00963B55">
              <w:rPr>
                <w:rFonts w:eastAsia="Times New Roman"/>
                <w:b/>
                <w:bCs/>
                <w:color w:val="auto"/>
                <w:sz w:val="20"/>
                <w:szCs w:val="20"/>
              </w:rPr>
              <w:t>5,</w:t>
            </w:r>
            <w:r w:rsidRPr="00963B55">
              <w:rPr>
                <w:rFonts w:eastAsia="Times New Roman"/>
                <w:color w:val="auto"/>
                <w:sz w:val="20"/>
                <w:szCs w:val="20"/>
              </w:rPr>
              <w:t xml:space="preserve"> Highly Likely</w:t>
            </w:r>
          </w:p>
        </w:tc>
      </w:tr>
      <w:tr w:rsidR="00963B55" w:rsidRPr="00963B55" w14:paraId="200391AC" w14:textId="77777777" w:rsidTr="00963B55">
        <w:trPr>
          <w:trHeight w:val="300"/>
        </w:trPr>
        <w:tc>
          <w:tcPr>
            <w:tcW w:w="3965" w:type="dxa"/>
            <w:tcBorders>
              <w:top w:val="nil"/>
              <w:left w:val="single" w:sz="8" w:space="0" w:color="auto"/>
              <w:bottom w:val="single" w:sz="4" w:space="0" w:color="auto"/>
              <w:right w:val="single" w:sz="4" w:space="0" w:color="auto"/>
            </w:tcBorders>
            <w:shd w:val="clear" w:color="auto" w:fill="auto"/>
            <w:noWrap/>
            <w:vAlign w:val="center"/>
            <w:hideMark/>
          </w:tcPr>
          <w:p w14:paraId="33973D8B"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4533" w:type="dxa"/>
            <w:gridSpan w:val="14"/>
            <w:tcBorders>
              <w:top w:val="nil"/>
              <w:left w:val="nil"/>
              <w:bottom w:val="single" w:sz="4" w:space="0" w:color="auto"/>
              <w:right w:val="single" w:sz="8" w:space="0" w:color="000000"/>
            </w:tcBorders>
            <w:shd w:val="clear" w:color="auto" w:fill="auto"/>
            <w:noWrap/>
            <w:vAlign w:val="center"/>
            <w:hideMark/>
          </w:tcPr>
          <w:p w14:paraId="4C20C3C7" w14:textId="77777777" w:rsidR="00963B55" w:rsidRPr="00963B55" w:rsidRDefault="00963B55" w:rsidP="00963B55">
            <w:pPr>
              <w:spacing w:after="0" w:line="240" w:lineRule="auto"/>
              <w:ind w:left="0" w:firstLine="0"/>
              <w:rPr>
                <w:rFonts w:eastAsia="Times New Roman"/>
                <w:b/>
                <w:bCs/>
                <w:color w:val="auto"/>
                <w:sz w:val="20"/>
                <w:szCs w:val="20"/>
              </w:rPr>
            </w:pPr>
            <w:r w:rsidRPr="00963B55">
              <w:rPr>
                <w:rFonts w:eastAsia="Times New Roman"/>
                <w:b/>
                <w:bCs/>
                <w:color w:val="auto"/>
                <w:sz w:val="20"/>
                <w:szCs w:val="20"/>
              </w:rPr>
              <w:t>R=RISK (S multiplied by L</w:t>
            </w:r>
            <w:proofErr w:type="gramStart"/>
            <w:r w:rsidRPr="00963B55">
              <w:rPr>
                <w:rFonts w:eastAsia="Times New Roman"/>
                <w:b/>
                <w:bCs/>
                <w:color w:val="auto"/>
                <w:sz w:val="20"/>
                <w:szCs w:val="20"/>
              </w:rPr>
              <w:t>)  -</w:t>
            </w:r>
            <w:proofErr w:type="gramEnd"/>
            <w:r w:rsidRPr="00963B55">
              <w:rPr>
                <w:rFonts w:eastAsia="Times New Roman"/>
                <w:b/>
                <w:bCs/>
                <w:color w:val="auto"/>
                <w:sz w:val="20"/>
                <w:szCs w:val="20"/>
              </w:rPr>
              <w:t xml:space="preserve"> 1-4 = Low, 5-12 = Medium, over 12 = High</w:t>
            </w:r>
          </w:p>
        </w:tc>
      </w:tr>
      <w:tr w:rsidR="00963B55" w:rsidRPr="00963B55" w14:paraId="321D1196" w14:textId="77777777" w:rsidTr="00963B55">
        <w:trPr>
          <w:trHeight w:val="255"/>
        </w:trPr>
        <w:tc>
          <w:tcPr>
            <w:tcW w:w="10704" w:type="dxa"/>
            <w:gridSpan w:val="7"/>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43F827EF"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Who is Affected (underline)</w:t>
            </w:r>
          </w:p>
        </w:tc>
        <w:tc>
          <w:tcPr>
            <w:tcW w:w="3265"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2220DB5C"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Numbers Exposed</w:t>
            </w:r>
          </w:p>
        </w:tc>
        <w:tc>
          <w:tcPr>
            <w:tcW w:w="1120" w:type="dxa"/>
            <w:tcBorders>
              <w:top w:val="nil"/>
              <w:left w:val="nil"/>
              <w:bottom w:val="single" w:sz="4" w:space="0" w:color="auto"/>
              <w:right w:val="single" w:sz="4" w:space="0" w:color="auto"/>
            </w:tcBorders>
            <w:shd w:val="clear" w:color="000000" w:fill="C0C0C0"/>
            <w:noWrap/>
            <w:vAlign w:val="bottom"/>
            <w:hideMark/>
          </w:tcPr>
          <w:p w14:paraId="618C2299"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A</w:t>
            </w:r>
          </w:p>
        </w:tc>
        <w:tc>
          <w:tcPr>
            <w:tcW w:w="233" w:type="dxa"/>
            <w:tcBorders>
              <w:top w:val="nil"/>
              <w:left w:val="nil"/>
              <w:bottom w:val="single" w:sz="4" w:space="0" w:color="auto"/>
              <w:right w:val="single" w:sz="4" w:space="0" w:color="auto"/>
            </w:tcBorders>
            <w:shd w:val="clear" w:color="000000" w:fill="C0C0C0"/>
            <w:noWrap/>
            <w:vAlign w:val="bottom"/>
            <w:hideMark/>
          </w:tcPr>
          <w:p w14:paraId="5818410A"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B</w:t>
            </w:r>
          </w:p>
        </w:tc>
        <w:tc>
          <w:tcPr>
            <w:tcW w:w="1976" w:type="dxa"/>
            <w:tcBorders>
              <w:top w:val="nil"/>
              <w:left w:val="nil"/>
              <w:bottom w:val="single" w:sz="4" w:space="0" w:color="auto"/>
              <w:right w:val="single" w:sz="4" w:space="0" w:color="auto"/>
            </w:tcBorders>
            <w:shd w:val="clear" w:color="000000" w:fill="C0C0C0"/>
            <w:noWrap/>
            <w:vAlign w:val="bottom"/>
            <w:hideMark/>
          </w:tcPr>
          <w:p w14:paraId="35840755"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C</w:t>
            </w:r>
          </w:p>
        </w:tc>
        <w:tc>
          <w:tcPr>
            <w:tcW w:w="600" w:type="dxa"/>
            <w:tcBorders>
              <w:top w:val="nil"/>
              <w:left w:val="nil"/>
              <w:bottom w:val="single" w:sz="4" w:space="0" w:color="auto"/>
              <w:right w:val="single" w:sz="4" w:space="0" w:color="auto"/>
            </w:tcBorders>
            <w:shd w:val="clear" w:color="000000" w:fill="C0C0C0"/>
            <w:noWrap/>
            <w:vAlign w:val="bottom"/>
            <w:hideMark/>
          </w:tcPr>
          <w:p w14:paraId="251A1488"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D</w:t>
            </w:r>
          </w:p>
        </w:tc>
        <w:tc>
          <w:tcPr>
            <w:tcW w:w="600" w:type="dxa"/>
            <w:tcBorders>
              <w:top w:val="nil"/>
              <w:left w:val="nil"/>
              <w:bottom w:val="single" w:sz="4" w:space="0" w:color="auto"/>
              <w:right w:val="single" w:sz="8" w:space="0" w:color="auto"/>
            </w:tcBorders>
            <w:shd w:val="clear" w:color="000000" w:fill="C0C0C0"/>
            <w:noWrap/>
            <w:vAlign w:val="bottom"/>
            <w:hideMark/>
          </w:tcPr>
          <w:p w14:paraId="74927846"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E</w:t>
            </w:r>
          </w:p>
        </w:tc>
      </w:tr>
      <w:tr w:rsidR="00963B55" w:rsidRPr="00963B55" w14:paraId="475F4326" w14:textId="77777777" w:rsidTr="00963B55">
        <w:trPr>
          <w:trHeight w:val="255"/>
        </w:trPr>
        <w:tc>
          <w:tcPr>
            <w:tcW w:w="10704" w:type="dxa"/>
            <w:gridSpan w:val="7"/>
            <w:vMerge w:val="restart"/>
            <w:tcBorders>
              <w:top w:val="single" w:sz="4" w:space="0" w:color="auto"/>
              <w:left w:val="single" w:sz="8" w:space="0" w:color="auto"/>
              <w:bottom w:val="nil"/>
              <w:right w:val="nil"/>
            </w:tcBorders>
            <w:shd w:val="clear" w:color="auto" w:fill="auto"/>
            <w:vAlign w:val="center"/>
            <w:hideMark/>
          </w:tcPr>
          <w:p w14:paraId="20388096" w14:textId="77777777" w:rsidR="00963B55" w:rsidRPr="00963B55" w:rsidRDefault="00963B55" w:rsidP="00963B55">
            <w:pPr>
              <w:spacing w:after="0" w:line="240" w:lineRule="auto"/>
              <w:ind w:left="0" w:firstLine="0"/>
              <w:jc w:val="center"/>
              <w:rPr>
                <w:rFonts w:eastAsia="Times New Roman"/>
                <w:color w:val="auto"/>
                <w:sz w:val="20"/>
                <w:szCs w:val="20"/>
              </w:rPr>
            </w:pPr>
            <w:proofErr w:type="gramStart"/>
            <w:r w:rsidRPr="00963B55">
              <w:rPr>
                <w:rFonts w:eastAsia="Times New Roman"/>
                <w:color w:val="auto"/>
                <w:sz w:val="20"/>
                <w:szCs w:val="20"/>
              </w:rPr>
              <w:t xml:space="preserve">Employees,   </w:t>
            </w:r>
            <w:proofErr w:type="gramEnd"/>
            <w:r w:rsidRPr="00963B55">
              <w:rPr>
                <w:rFonts w:eastAsia="Times New Roman"/>
                <w:color w:val="auto"/>
                <w:sz w:val="20"/>
                <w:szCs w:val="20"/>
              </w:rPr>
              <w:t xml:space="preserve">  Contractors     Suppliers       Visitors    Young Persons     Lone workers       Disabled      Public      New/Expectant Mothers      Children     Intruders</w:t>
            </w:r>
          </w:p>
        </w:tc>
        <w:tc>
          <w:tcPr>
            <w:tcW w:w="3265" w:type="dxa"/>
            <w:gridSpan w:val="3"/>
            <w:vMerge/>
            <w:tcBorders>
              <w:top w:val="single" w:sz="4" w:space="0" w:color="auto"/>
              <w:left w:val="single" w:sz="4" w:space="0" w:color="auto"/>
              <w:bottom w:val="single" w:sz="4" w:space="0" w:color="000000"/>
              <w:right w:val="single" w:sz="4" w:space="0" w:color="000000"/>
            </w:tcBorders>
            <w:vAlign w:val="center"/>
            <w:hideMark/>
          </w:tcPr>
          <w:p w14:paraId="32A9ACD8" w14:textId="77777777" w:rsidR="00963B55" w:rsidRPr="00963B55" w:rsidRDefault="00963B55" w:rsidP="00963B55">
            <w:pPr>
              <w:spacing w:after="0" w:line="240" w:lineRule="auto"/>
              <w:ind w:left="0" w:firstLine="0"/>
              <w:rPr>
                <w:rFonts w:eastAsia="Times New Roman"/>
                <w:color w:val="auto"/>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14:paraId="3258B6B5"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233" w:type="dxa"/>
            <w:tcBorders>
              <w:top w:val="nil"/>
              <w:left w:val="nil"/>
              <w:bottom w:val="single" w:sz="4" w:space="0" w:color="auto"/>
              <w:right w:val="single" w:sz="4" w:space="0" w:color="auto"/>
            </w:tcBorders>
            <w:shd w:val="clear" w:color="auto" w:fill="auto"/>
            <w:noWrap/>
            <w:vAlign w:val="bottom"/>
            <w:hideMark/>
          </w:tcPr>
          <w:p w14:paraId="1066083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976" w:type="dxa"/>
            <w:tcBorders>
              <w:top w:val="nil"/>
              <w:left w:val="nil"/>
              <w:bottom w:val="single" w:sz="4" w:space="0" w:color="auto"/>
              <w:right w:val="single" w:sz="4" w:space="0" w:color="auto"/>
            </w:tcBorders>
            <w:shd w:val="clear" w:color="auto" w:fill="auto"/>
            <w:noWrap/>
            <w:vAlign w:val="bottom"/>
            <w:hideMark/>
          </w:tcPr>
          <w:p w14:paraId="3556AE67"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96D7FA1"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14:paraId="58C63800"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r w:rsidR="00963B55" w:rsidRPr="00963B55" w14:paraId="3C0A8BA4" w14:textId="77777777" w:rsidTr="00963B55">
        <w:trPr>
          <w:trHeight w:val="255"/>
        </w:trPr>
        <w:tc>
          <w:tcPr>
            <w:tcW w:w="10704" w:type="dxa"/>
            <w:gridSpan w:val="7"/>
            <w:vMerge/>
            <w:tcBorders>
              <w:top w:val="single" w:sz="4" w:space="0" w:color="auto"/>
              <w:left w:val="single" w:sz="8" w:space="0" w:color="auto"/>
              <w:bottom w:val="nil"/>
              <w:right w:val="nil"/>
            </w:tcBorders>
            <w:vAlign w:val="center"/>
            <w:hideMark/>
          </w:tcPr>
          <w:p w14:paraId="2C9FD8E8" w14:textId="77777777" w:rsidR="00963B55" w:rsidRPr="00963B55" w:rsidRDefault="00963B55" w:rsidP="00963B55">
            <w:pPr>
              <w:spacing w:after="0" w:line="240" w:lineRule="auto"/>
              <w:ind w:left="0" w:firstLine="0"/>
              <w:rPr>
                <w:rFonts w:eastAsia="Times New Roman"/>
                <w:color w:val="auto"/>
                <w:sz w:val="20"/>
                <w:szCs w:val="20"/>
              </w:rPr>
            </w:pPr>
          </w:p>
        </w:tc>
        <w:tc>
          <w:tcPr>
            <w:tcW w:w="7794" w:type="dxa"/>
            <w:gridSpan w:val="8"/>
            <w:tcBorders>
              <w:top w:val="nil"/>
              <w:left w:val="nil"/>
              <w:bottom w:val="nil"/>
              <w:right w:val="nil"/>
            </w:tcBorders>
            <w:shd w:val="clear" w:color="auto" w:fill="auto"/>
            <w:noWrap/>
            <w:vAlign w:val="bottom"/>
            <w:hideMark/>
          </w:tcPr>
          <w:p w14:paraId="0B50F66E"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A, 1    B, 2-5    C, 6-20    D, 21-100    E, 100+</w:t>
            </w:r>
          </w:p>
        </w:tc>
      </w:tr>
      <w:tr w:rsidR="00963B55" w:rsidRPr="00963B55" w14:paraId="4509F9FF" w14:textId="77777777" w:rsidTr="00963B55">
        <w:trPr>
          <w:trHeight w:val="255"/>
        </w:trPr>
        <w:tc>
          <w:tcPr>
            <w:tcW w:w="4815" w:type="dxa"/>
            <w:gridSpan w:val="3"/>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7B9BD676"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Specific assessment required (underline)</w:t>
            </w:r>
          </w:p>
        </w:tc>
        <w:tc>
          <w:tcPr>
            <w:tcW w:w="13683" w:type="dxa"/>
            <w:gridSpan w:val="12"/>
            <w:tcBorders>
              <w:top w:val="single" w:sz="4" w:space="0" w:color="auto"/>
              <w:left w:val="nil"/>
              <w:bottom w:val="single" w:sz="4" w:space="0" w:color="auto"/>
              <w:right w:val="single" w:sz="8" w:space="0" w:color="000000"/>
            </w:tcBorders>
            <w:shd w:val="clear" w:color="000000" w:fill="C0C0C0"/>
            <w:noWrap/>
            <w:vAlign w:val="bottom"/>
            <w:hideMark/>
          </w:tcPr>
          <w:p w14:paraId="247F5C70"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PPE Required (underline)</w:t>
            </w:r>
          </w:p>
        </w:tc>
      </w:tr>
      <w:tr w:rsidR="00963B55" w:rsidRPr="00963B55" w14:paraId="505024AE" w14:textId="77777777" w:rsidTr="00963B55">
        <w:trPr>
          <w:trHeight w:val="517"/>
        </w:trPr>
        <w:tc>
          <w:tcPr>
            <w:tcW w:w="4815" w:type="dxa"/>
            <w:gridSpan w:val="3"/>
            <w:vMerge w:val="restart"/>
            <w:tcBorders>
              <w:top w:val="single" w:sz="4" w:space="0" w:color="auto"/>
              <w:left w:val="single" w:sz="8" w:space="0" w:color="auto"/>
              <w:bottom w:val="nil"/>
              <w:right w:val="nil"/>
            </w:tcBorders>
            <w:shd w:val="clear" w:color="auto" w:fill="auto"/>
            <w:vAlign w:val="center"/>
            <w:hideMark/>
          </w:tcPr>
          <w:p w14:paraId="2AC88627" w14:textId="77777777" w:rsidR="00963B55" w:rsidRPr="00963B55" w:rsidRDefault="00963B55" w:rsidP="00963B55">
            <w:pPr>
              <w:spacing w:after="0" w:line="240" w:lineRule="auto"/>
              <w:ind w:left="0" w:firstLine="0"/>
              <w:jc w:val="center"/>
              <w:rPr>
                <w:rFonts w:eastAsia="Times New Roman"/>
                <w:color w:val="auto"/>
                <w:sz w:val="20"/>
                <w:szCs w:val="20"/>
              </w:rPr>
            </w:pPr>
            <w:r w:rsidRPr="00963B55">
              <w:rPr>
                <w:rFonts w:eastAsia="Times New Roman"/>
                <w:color w:val="auto"/>
                <w:sz w:val="20"/>
                <w:szCs w:val="20"/>
              </w:rPr>
              <w:t>COSHH     Noise     Manual Handling     PPE     Fire      Lead     Vibration      Young Persons</w:t>
            </w:r>
          </w:p>
        </w:tc>
        <w:tc>
          <w:tcPr>
            <w:tcW w:w="13683" w:type="dxa"/>
            <w:gridSpan w:val="12"/>
            <w:vMerge w:val="restart"/>
            <w:tcBorders>
              <w:top w:val="nil"/>
              <w:left w:val="nil"/>
              <w:bottom w:val="nil"/>
              <w:right w:val="nil"/>
            </w:tcBorders>
            <w:shd w:val="clear" w:color="auto" w:fill="auto"/>
            <w:noWrap/>
            <w:vAlign w:val="bottom"/>
            <w:hideMark/>
          </w:tcPr>
          <w:p w14:paraId="69CF49D3" w14:textId="38C95584"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xml:space="preserve">Hard Hat    Protective </w:t>
            </w:r>
            <w:proofErr w:type="gramStart"/>
            <w:r w:rsidR="00FE142D" w:rsidRPr="00963B55">
              <w:rPr>
                <w:rFonts w:eastAsia="Times New Roman"/>
                <w:color w:val="auto"/>
                <w:sz w:val="20"/>
                <w:szCs w:val="20"/>
              </w:rPr>
              <w:t>footwear</w:t>
            </w:r>
            <w:proofErr w:type="gramEnd"/>
            <w:r w:rsidRPr="00963B55">
              <w:rPr>
                <w:rFonts w:eastAsia="Times New Roman"/>
                <w:color w:val="auto"/>
                <w:sz w:val="20"/>
                <w:szCs w:val="20"/>
              </w:rPr>
              <w:t xml:space="preserve">    Hi-Vis clothing     Gloves       Eye Protection       Hearing Protection       Overalls      </w:t>
            </w:r>
            <w:r w:rsidR="00FE142D" w:rsidRPr="00963B55">
              <w:rPr>
                <w:rFonts w:eastAsia="Times New Roman"/>
                <w:color w:val="auto"/>
                <w:sz w:val="20"/>
                <w:szCs w:val="20"/>
              </w:rPr>
              <w:t>Respiratory</w:t>
            </w:r>
            <w:r w:rsidRPr="00963B55">
              <w:rPr>
                <w:rFonts w:eastAsia="Times New Roman"/>
                <w:color w:val="auto"/>
                <w:sz w:val="20"/>
                <w:szCs w:val="20"/>
              </w:rPr>
              <w:t xml:space="preserve"> Protection  </w:t>
            </w:r>
          </w:p>
        </w:tc>
      </w:tr>
      <w:tr w:rsidR="00963B55" w:rsidRPr="00963B55" w14:paraId="7989791B" w14:textId="77777777" w:rsidTr="00963B55">
        <w:trPr>
          <w:trHeight w:val="517"/>
        </w:trPr>
        <w:tc>
          <w:tcPr>
            <w:tcW w:w="4815" w:type="dxa"/>
            <w:gridSpan w:val="3"/>
            <w:vMerge/>
            <w:tcBorders>
              <w:top w:val="single" w:sz="4" w:space="0" w:color="auto"/>
              <w:left w:val="single" w:sz="8" w:space="0" w:color="auto"/>
              <w:bottom w:val="nil"/>
              <w:right w:val="nil"/>
            </w:tcBorders>
            <w:vAlign w:val="center"/>
            <w:hideMark/>
          </w:tcPr>
          <w:p w14:paraId="2D9BF8CF" w14:textId="77777777" w:rsidR="00963B55" w:rsidRPr="00963B55" w:rsidRDefault="00963B55" w:rsidP="00963B55">
            <w:pPr>
              <w:spacing w:after="0" w:line="240" w:lineRule="auto"/>
              <w:ind w:left="0" w:firstLine="0"/>
              <w:rPr>
                <w:rFonts w:eastAsia="Times New Roman"/>
                <w:color w:val="auto"/>
                <w:sz w:val="20"/>
                <w:szCs w:val="20"/>
              </w:rPr>
            </w:pPr>
          </w:p>
        </w:tc>
        <w:tc>
          <w:tcPr>
            <w:tcW w:w="13683" w:type="dxa"/>
            <w:gridSpan w:val="12"/>
            <w:vMerge/>
            <w:tcBorders>
              <w:top w:val="nil"/>
              <w:left w:val="nil"/>
              <w:bottom w:val="nil"/>
              <w:right w:val="nil"/>
            </w:tcBorders>
            <w:vAlign w:val="center"/>
            <w:hideMark/>
          </w:tcPr>
          <w:p w14:paraId="53A4EF9F" w14:textId="77777777" w:rsidR="00963B55" w:rsidRPr="00963B55" w:rsidRDefault="00963B55" w:rsidP="00963B55">
            <w:pPr>
              <w:spacing w:after="0" w:line="240" w:lineRule="auto"/>
              <w:ind w:left="0" w:firstLine="0"/>
              <w:rPr>
                <w:rFonts w:eastAsia="Times New Roman"/>
                <w:color w:val="auto"/>
                <w:sz w:val="20"/>
                <w:szCs w:val="20"/>
              </w:rPr>
            </w:pPr>
          </w:p>
        </w:tc>
      </w:tr>
      <w:tr w:rsidR="00963B55" w:rsidRPr="00963B55" w14:paraId="1D6B9957" w14:textId="77777777" w:rsidTr="00963B55">
        <w:trPr>
          <w:trHeight w:val="255"/>
        </w:trPr>
        <w:tc>
          <w:tcPr>
            <w:tcW w:w="3965" w:type="dxa"/>
            <w:vMerge w:val="restart"/>
            <w:tcBorders>
              <w:top w:val="nil"/>
              <w:left w:val="nil"/>
              <w:bottom w:val="nil"/>
              <w:right w:val="nil"/>
            </w:tcBorders>
            <w:shd w:val="clear" w:color="auto" w:fill="auto"/>
            <w:noWrap/>
            <w:vAlign w:val="bottom"/>
            <w:hideMark/>
          </w:tcPr>
          <w:p w14:paraId="29F7F28D"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Detailed Method Statement Required</w:t>
            </w:r>
          </w:p>
        </w:tc>
        <w:tc>
          <w:tcPr>
            <w:tcW w:w="56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820DAE0"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Yes</w:t>
            </w:r>
          </w:p>
        </w:tc>
        <w:tc>
          <w:tcPr>
            <w:tcW w:w="286" w:type="dxa"/>
            <w:tcBorders>
              <w:top w:val="single" w:sz="4" w:space="0" w:color="auto"/>
              <w:left w:val="nil"/>
              <w:bottom w:val="single" w:sz="4" w:space="0" w:color="auto"/>
              <w:right w:val="single" w:sz="4" w:space="0" w:color="auto"/>
            </w:tcBorders>
            <w:shd w:val="clear" w:color="000000" w:fill="C0C0C0"/>
            <w:noWrap/>
            <w:vAlign w:val="bottom"/>
            <w:hideMark/>
          </w:tcPr>
          <w:p w14:paraId="0F797A13"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No</w:t>
            </w:r>
          </w:p>
        </w:tc>
        <w:tc>
          <w:tcPr>
            <w:tcW w:w="13683" w:type="dxa"/>
            <w:gridSpan w:val="12"/>
            <w:vMerge w:val="restart"/>
            <w:tcBorders>
              <w:top w:val="nil"/>
              <w:left w:val="nil"/>
              <w:bottom w:val="nil"/>
              <w:right w:val="nil"/>
            </w:tcBorders>
            <w:shd w:val="clear" w:color="auto" w:fill="auto"/>
            <w:noWrap/>
            <w:vAlign w:val="bottom"/>
            <w:hideMark/>
          </w:tcPr>
          <w:p w14:paraId="424CF54E"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OTHER (state):</w:t>
            </w:r>
          </w:p>
        </w:tc>
      </w:tr>
      <w:tr w:rsidR="00963B55" w:rsidRPr="00963B55" w14:paraId="0D391EDB" w14:textId="77777777" w:rsidTr="00963B55">
        <w:trPr>
          <w:trHeight w:val="255"/>
        </w:trPr>
        <w:tc>
          <w:tcPr>
            <w:tcW w:w="3965" w:type="dxa"/>
            <w:vMerge/>
            <w:tcBorders>
              <w:top w:val="nil"/>
              <w:left w:val="nil"/>
              <w:bottom w:val="nil"/>
              <w:right w:val="nil"/>
            </w:tcBorders>
            <w:vAlign w:val="center"/>
            <w:hideMark/>
          </w:tcPr>
          <w:p w14:paraId="43E65694" w14:textId="77777777" w:rsidR="00963B55" w:rsidRPr="00963B55" w:rsidRDefault="00963B55" w:rsidP="00963B55">
            <w:pPr>
              <w:spacing w:after="0" w:line="240" w:lineRule="auto"/>
              <w:ind w:left="0" w:firstLine="0"/>
              <w:rPr>
                <w:rFonts w:eastAsia="Times New Roman"/>
                <w:color w:val="auto"/>
                <w:sz w:val="20"/>
                <w:szCs w:val="20"/>
              </w:rPr>
            </w:pPr>
          </w:p>
        </w:tc>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694398A"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286" w:type="dxa"/>
            <w:tcBorders>
              <w:top w:val="nil"/>
              <w:left w:val="nil"/>
              <w:bottom w:val="single" w:sz="4" w:space="0" w:color="auto"/>
              <w:right w:val="single" w:sz="4" w:space="0" w:color="auto"/>
            </w:tcBorders>
            <w:shd w:val="clear" w:color="auto" w:fill="auto"/>
            <w:noWrap/>
            <w:vAlign w:val="bottom"/>
            <w:hideMark/>
          </w:tcPr>
          <w:p w14:paraId="2F7051CE"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13683" w:type="dxa"/>
            <w:gridSpan w:val="12"/>
            <w:vMerge/>
            <w:tcBorders>
              <w:top w:val="nil"/>
              <w:left w:val="nil"/>
              <w:bottom w:val="single" w:sz="4" w:space="0" w:color="auto"/>
              <w:right w:val="single" w:sz="4" w:space="0" w:color="auto"/>
            </w:tcBorders>
            <w:vAlign w:val="center"/>
            <w:hideMark/>
          </w:tcPr>
          <w:p w14:paraId="02FF0A41" w14:textId="77777777" w:rsidR="00963B55" w:rsidRPr="00963B55" w:rsidRDefault="00963B55" w:rsidP="00963B55">
            <w:pPr>
              <w:spacing w:after="0" w:line="240" w:lineRule="auto"/>
              <w:ind w:left="0" w:firstLine="0"/>
              <w:rPr>
                <w:rFonts w:eastAsia="Times New Roman"/>
                <w:color w:val="auto"/>
                <w:sz w:val="20"/>
                <w:szCs w:val="20"/>
              </w:rPr>
            </w:pPr>
          </w:p>
        </w:tc>
      </w:tr>
      <w:tr w:rsidR="00963B55" w:rsidRPr="00963B55" w14:paraId="135C9A76" w14:textId="77777777" w:rsidTr="00963B55">
        <w:trPr>
          <w:trHeight w:val="495"/>
        </w:trPr>
        <w:tc>
          <w:tcPr>
            <w:tcW w:w="396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36176B9"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Signed ……………………………………….</w:t>
            </w:r>
          </w:p>
        </w:tc>
        <w:tc>
          <w:tcPr>
            <w:tcW w:w="564" w:type="dxa"/>
            <w:tcBorders>
              <w:top w:val="nil"/>
              <w:left w:val="nil"/>
              <w:bottom w:val="single" w:sz="8" w:space="0" w:color="auto"/>
              <w:right w:val="single" w:sz="4" w:space="0" w:color="auto"/>
            </w:tcBorders>
            <w:shd w:val="clear" w:color="auto" w:fill="auto"/>
            <w:noWrap/>
            <w:vAlign w:val="bottom"/>
            <w:hideMark/>
          </w:tcPr>
          <w:p w14:paraId="2D148CC3"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Name</w:t>
            </w:r>
          </w:p>
        </w:tc>
        <w:tc>
          <w:tcPr>
            <w:tcW w:w="3426" w:type="dxa"/>
            <w:gridSpan w:val="2"/>
            <w:tcBorders>
              <w:top w:val="single" w:sz="4" w:space="0" w:color="auto"/>
              <w:left w:val="nil"/>
              <w:bottom w:val="single" w:sz="8" w:space="0" w:color="auto"/>
              <w:right w:val="single" w:sz="4" w:space="0" w:color="auto"/>
            </w:tcBorders>
            <w:shd w:val="clear" w:color="auto" w:fill="auto"/>
            <w:noWrap/>
            <w:vAlign w:val="bottom"/>
            <w:hideMark/>
          </w:tcPr>
          <w:p w14:paraId="0868DF2C"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2749" w:type="dxa"/>
            <w:gridSpan w:val="3"/>
            <w:tcBorders>
              <w:top w:val="single" w:sz="4" w:space="0" w:color="auto"/>
              <w:left w:val="nil"/>
              <w:bottom w:val="single" w:sz="8" w:space="0" w:color="auto"/>
              <w:right w:val="single" w:sz="4" w:space="0" w:color="auto"/>
            </w:tcBorders>
            <w:shd w:val="clear" w:color="auto" w:fill="auto"/>
            <w:noWrap/>
            <w:vAlign w:val="bottom"/>
            <w:hideMark/>
          </w:tcPr>
          <w:p w14:paraId="3A4655A7"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Position</w:t>
            </w:r>
          </w:p>
        </w:tc>
        <w:tc>
          <w:tcPr>
            <w:tcW w:w="2585" w:type="dxa"/>
            <w:gridSpan w:val="2"/>
            <w:tcBorders>
              <w:top w:val="single" w:sz="4" w:space="0" w:color="auto"/>
              <w:left w:val="nil"/>
              <w:bottom w:val="single" w:sz="8" w:space="0" w:color="auto"/>
              <w:right w:val="single" w:sz="4" w:space="0" w:color="000000"/>
            </w:tcBorders>
            <w:shd w:val="clear" w:color="auto" w:fill="auto"/>
            <w:noWrap/>
            <w:vAlign w:val="bottom"/>
            <w:hideMark/>
          </w:tcPr>
          <w:p w14:paraId="3750CA20"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c>
          <w:tcPr>
            <w:tcW w:w="2033" w:type="dxa"/>
            <w:gridSpan w:val="3"/>
            <w:tcBorders>
              <w:top w:val="single" w:sz="4" w:space="0" w:color="auto"/>
              <w:left w:val="nil"/>
              <w:bottom w:val="single" w:sz="8" w:space="0" w:color="auto"/>
              <w:right w:val="single" w:sz="4" w:space="0" w:color="auto"/>
            </w:tcBorders>
            <w:shd w:val="clear" w:color="auto" w:fill="auto"/>
            <w:noWrap/>
            <w:vAlign w:val="bottom"/>
            <w:hideMark/>
          </w:tcPr>
          <w:p w14:paraId="3166FB07"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Review Date</w:t>
            </w:r>
          </w:p>
        </w:tc>
        <w:tc>
          <w:tcPr>
            <w:tcW w:w="3176"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56B9075F" w14:textId="77777777" w:rsidR="00963B55" w:rsidRPr="00963B55" w:rsidRDefault="00963B55" w:rsidP="00963B55">
            <w:pPr>
              <w:spacing w:after="0" w:line="240" w:lineRule="auto"/>
              <w:ind w:left="0" w:firstLine="0"/>
              <w:rPr>
                <w:rFonts w:eastAsia="Times New Roman"/>
                <w:color w:val="auto"/>
                <w:sz w:val="20"/>
                <w:szCs w:val="20"/>
              </w:rPr>
            </w:pPr>
            <w:r w:rsidRPr="00963B55">
              <w:rPr>
                <w:rFonts w:eastAsia="Times New Roman"/>
                <w:color w:val="auto"/>
                <w:sz w:val="20"/>
                <w:szCs w:val="20"/>
              </w:rPr>
              <w:t> </w:t>
            </w:r>
          </w:p>
        </w:tc>
      </w:tr>
    </w:tbl>
    <w:p w14:paraId="629E5743" w14:textId="77777777" w:rsidR="009719B3" w:rsidRDefault="009719B3" w:rsidP="00B909FB">
      <w:pPr>
        <w:pStyle w:val="TSB-Level1Numbers"/>
        <w:ind w:left="0" w:firstLine="0"/>
        <w:jc w:val="left"/>
        <w:rPr>
          <w:b/>
        </w:rPr>
      </w:pPr>
    </w:p>
    <w:p w14:paraId="6F86A098" w14:textId="77777777" w:rsidR="009719B3" w:rsidRDefault="009719B3" w:rsidP="00B909FB">
      <w:pPr>
        <w:pStyle w:val="TSB-Level1Numbers"/>
        <w:ind w:left="0" w:firstLine="0"/>
        <w:jc w:val="left"/>
        <w:rPr>
          <w:b/>
        </w:rPr>
      </w:pPr>
    </w:p>
    <w:p w14:paraId="1ACBDFB5" w14:textId="77777777" w:rsidR="009719B3" w:rsidRDefault="009719B3" w:rsidP="00B909FB">
      <w:pPr>
        <w:pStyle w:val="TSB-Level1Numbers"/>
        <w:ind w:left="0" w:firstLine="0"/>
        <w:jc w:val="left"/>
        <w:rPr>
          <w:b/>
        </w:rPr>
      </w:pPr>
    </w:p>
    <w:p w14:paraId="1A51D93B" w14:textId="77777777" w:rsidR="009719B3" w:rsidRDefault="009719B3" w:rsidP="00B909FB">
      <w:pPr>
        <w:pStyle w:val="TSB-Level1Numbers"/>
        <w:ind w:left="0" w:firstLine="0"/>
        <w:jc w:val="left"/>
        <w:rPr>
          <w:b/>
        </w:rPr>
      </w:pPr>
    </w:p>
    <w:p w14:paraId="510761EF" w14:textId="77777777" w:rsidR="009719B3" w:rsidRDefault="009719B3" w:rsidP="00B909FB">
      <w:pPr>
        <w:pStyle w:val="TSB-Level1Numbers"/>
        <w:ind w:left="0" w:firstLine="0"/>
        <w:jc w:val="left"/>
        <w:rPr>
          <w:b/>
        </w:rPr>
      </w:pPr>
    </w:p>
    <w:p w14:paraId="2344DBD4" w14:textId="77777777" w:rsidR="009719B3" w:rsidRPr="00B909FB" w:rsidRDefault="009719B3" w:rsidP="00B909FB">
      <w:pPr>
        <w:pStyle w:val="TSB-Level1Numbers"/>
        <w:ind w:left="0" w:firstLine="0"/>
        <w:jc w:val="left"/>
        <w:rPr>
          <w:b/>
        </w:rPr>
      </w:pPr>
    </w:p>
    <w:sectPr w:rsidR="009719B3" w:rsidRPr="00B909FB" w:rsidSect="00963B55">
      <w:pgSz w:w="23814" w:h="16840"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612B" w14:textId="77777777" w:rsidR="001A3513" w:rsidRDefault="001A3513" w:rsidP="00970C09">
      <w:pPr>
        <w:spacing w:after="0" w:line="240" w:lineRule="auto"/>
      </w:pPr>
      <w:r>
        <w:separator/>
      </w:r>
    </w:p>
  </w:endnote>
  <w:endnote w:type="continuationSeparator" w:id="0">
    <w:p w14:paraId="68CBAF77" w14:textId="77777777" w:rsidR="001A3513" w:rsidRDefault="001A3513" w:rsidP="0097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C092" w14:textId="77777777" w:rsidR="001A3513" w:rsidRDefault="001A3513" w:rsidP="00970C09">
      <w:pPr>
        <w:spacing w:after="0" w:line="240" w:lineRule="auto"/>
      </w:pPr>
      <w:r>
        <w:separator/>
      </w:r>
    </w:p>
  </w:footnote>
  <w:footnote w:type="continuationSeparator" w:id="0">
    <w:p w14:paraId="6274CE04" w14:textId="77777777" w:rsidR="001A3513" w:rsidRDefault="001A3513" w:rsidP="00970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B1C"/>
    <w:multiLevelType w:val="hybridMultilevel"/>
    <w:tmpl w:val="0454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3387"/>
    <w:multiLevelType w:val="hybridMultilevel"/>
    <w:tmpl w:val="FDB22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977E14"/>
    <w:multiLevelType w:val="hybridMultilevel"/>
    <w:tmpl w:val="2304B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F66DC"/>
    <w:multiLevelType w:val="hybridMultilevel"/>
    <w:tmpl w:val="8EA2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74F3F"/>
    <w:multiLevelType w:val="hybridMultilevel"/>
    <w:tmpl w:val="B59C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6CB7"/>
    <w:multiLevelType w:val="hybridMultilevel"/>
    <w:tmpl w:val="05F499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7645AE"/>
    <w:multiLevelType w:val="hybridMultilevel"/>
    <w:tmpl w:val="0C2EA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27C58"/>
    <w:multiLevelType w:val="hybridMultilevel"/>
    <w:tmpl w:val="A590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30772"/>
    <w:multiLevelType w:val="hybridMultilevel"/>
    <w:tmpl w:val="ADE2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83904"/>
    <w:multiLevelType w:val="hybridMultilevel"/>
    <w:tmpl w:val="0CD6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65B52"/>
    <w:multiLevelType w:val="hybridMultilevel"/>
    <w:tmpl w:val="32D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4F08"/>
    <w:multiLevelType w:val="hybridMultilevel"/>
    <w:tmpl w:val="67FA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90CDE"/>
    <w:multiLevelType w:val="hybridMultilevel"/>
    <w:tmpl w:val="916A0DE0"/>
    <w:lvl w:ilvl="0" w:tplc="ACEC7FC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B979C0"/>
    <w:multiLevelType w:val="hybridMultilevel"/>
    <w:tmpl w:val="638417C6"/>
    <w:lvl w:ilvl="0" w:tplc="C5D4FDC4">
      <w:start w:val="1"/>
      <w:numFmt w:val="bullet"/>
      <w:lvlText w:val=""/>
      <w:lvlJc w:val="right"/>
      <w:pPr>
        <w:ind w:left="720" w:hanging="360"/>
      </w:pPr>
      <w:rPr>
        <w:rFonts w:ascii="Symbol" w:hAnsi="Symbol" w:hint="default"/>
      </w:rPr>
    </w:lvl>
    <w:lvl w:ilvl="1" w:tplc="7DE6432E">
      <w:numFmt w:val="bullet"/>
      <w:lvlText w:val="•"/>
      <w:lvlJc w:val="left"/>
      <w:pPr>
        <w:ind w:left="1440" w:hanging="360"/>
      </w:pPr>
      <w:rPr>
        <w:rFonts w:ascii="Franklin Gothic" w:eastAsia="Franklin Gothic" w:hAnsi="Franklin Gothic" w:cs="Franklin Gothic"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A3674"/>
    <w:multiLevelType w:val="hybridMultilevel"/>
    <w:tmpl w:val="49387208"/>
    <w:lvl w:ilvl="0" w:tplc="3376BE2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8E4648"/>
    <w:multiLevelType w:val="hybridMultilevel"/>
    <w:tmpl w:val="1918FD6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09D7B44"/>
    <w:multiLevelType w:val="hybridMultilevel"/>
    <w:tmpl w:val="70002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4790D"/>
    <w:multiLevelType w:val="hybridMultilevel"/>
    <w:tmpl w:val="562E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66B87"/>
    <w:multiLevelType w:val="hybridMultilevel"/>
    <w:tmpl w:val="B9987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0960EF"/>
    <w:multiLevelType w:val="hybridMultilevel"/>
    <w:tmpl w:val="7F5C48CC"/>
    <w:lvl w:ilvl="0" w:tplc="08090001">
      <w:start w:val="1"/>
      <w:numFmt w:val="bullet"/>
      <w:lvlText w:val=""/>
      <w:lvlJc w:val="left"/>
      <w:pPr>
        <w:ind w:left="720" w:hanging="360"/>
      </w:pPr>
      <w:rPr>
        <w:rFonts w:ascii="Symbol" w:hAnsi="Symbol" w:hint="default"/>
      </w:rPr>
    </w:lvl>
    <w:lvl w:ilvl="1" w:tplc="08090003" w:tentative="1">
      <w:start w:val="1"/>
      <w:numFmt w:val="bullet"/>
      <w:pStyle w:val="Lis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C5850"/>
    <w:multiLevelType w:val="hybridMultilevel"/>
    <w:tmpl w:val="59F8104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9877E26"/>
    <w:multiLevelType w:val="hybridMultilevel"/>
    <w:tmpl w:val="ADC60574"/>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ED1F13"/>
    <w:multiLevelType w:val="hybridMultilevel"/>
    <w:tmpl w:val="8A68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A2516"/>
    <w:multiLevelType w:val="hybridMultilevel"/>
    <w:tmpl w:val="0CAEBC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06D246A"/>
    <w:multiLevelType w:val="hybridMultilevel"/>
    <w:tmpl w:val="8950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C8601E"/>
    <w:multiLevelType w:val="hybridMultilevel"/>
    <w:tmpl w:val="A82A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7A63EB"/>
    <w:multiLevelType w:val="hybridMultilevel"/>
    <w:tmpl w:val="3392C4D4"/>
    <w:lvl w:ilvl="0" w:tplc="8A86D79C">
      <w:start w:val="1"/>
      <w:numFmt w:val="bullet"/>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1" w15:restartNumberingAfterBreak="0">
    <w:nsid w:val="55B376E5"/>
    <w:multiLevelType w:val="hybridMultilevel"/>
    <w:tmpl w:val="2772A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E0BE8"/>
    <w:multiLevelType w:val="hybridMultilevel"/>
    <w:tmpl w:val="E66A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80267"/>
    <w:multiLevelType w:val="hybridMultilevel"/>
    <w:tmpl w:val="9F0AE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D637A0"/>
    <w:multiLevelType w:val="hybridMultilevel"/>
    <w:tmpl w:val="4A14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B15AD"/>
    <w:multiLevelType w:val="hybridMultilevel"/>
    <w:tmpl w:val="E58CA718"/>
    <w:lvl w:ilvl="0" w:tplc="E8082804">
      <w:start w:val="1"/>
      <w:numFmt w:val="bullet"/>
      <w:lvlText w:val=""/>
      <w:lvlJc w:val="left"/>
      <w:pPr>
        <w:ind w:left="2143" w:hanging="360"/>
      </w:pPr>
      <w:rPr>
        <w:rFonts w:ascii="Symbol" w:hAnsi="Symbol" w:hint="default"/>
        <w:color w:val="1F497D"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6" w15:restartNumberingAfterBreak="0">
    <w:nsid w:val="61CB6DDC"/>
    <w:multiLevelType w:val="hybridMultilevel"/>
    <w:tmpl w:val="D1BE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E645E"/>
    <w:multiLevelType w:val="hybridMultilevel"/>
    <w:tmpl w:val="9D0A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928AD"/>
    <w:multiLevelType w:val="hybridMultilevel"/>
    <w:tmpl w:val="66DCA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F86748"/>
    <w:multiLevelType w:val="hybridMultilevel"/>
    <w:tmpl w:val="219CA1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513CC0"/>
    <w:multiLevelType w:val="hybridMultilevel"/>
    <w:tmpl w:val="C5C2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62226"/>
    <w:multiLevelType w:val="hybridMultilevel"/>
    <w:tmpl w:val="8B90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00C2B"/>
    <w:multiLevelType w:val="hybridMultilevel"/>
    <w:tmpl w:val="DB2C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669A7"/>
    <w:multiLevelType w:val="hybridMultilevel"/>
    <w:tmpl w:val="4180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41046"/>
    <w:multiLevelType w:val="hybridMultilevel"/>
    <w:tmpl w:val="F6D2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8"/>
  </w:num>
  <w:num w:numId="4">
    <w:abstractNumId w:val="44"/>
  </w:num>
  <w:num w:numId="5">
    <w:abstractNumId w:val="17"/>
  </w:num>
  <w:num w:numId="6">
    <w:abstractNumId w:val="20"/>
  </w:num>
  <w:num w:numId="7">
    <w:abstractNumId w:val="10"/>
  </w:num>
  <w:num w:numId="8">
    <w:abstractNumId w:val="28"/>
  </w:num>
  <w:num w:numId="9">
    <w:abstractNumId w:val="34"/>
  </w:num>
  <w:num w:numId="10">
    <w:abstractNumId w:val="26"/>
  </w:num>
  <w:num w:numId="11">
    <w:abstractNumId w:val="15"/>
  </w:num>
  <w:num w:numId="12">
    <w:abstractNumId w:val="21"/>
  </w:num>
  <w:num w:numId="13">
    <w:abstractNumId w:val="37"/>
  </w:num>
  <w:num w:numId="14">
    <w:abstractNumId w:val="4"/>
  </w:num>
  <w:num w:numId="15">
    <w:abstractNumId w:val="40"/>
  </w:num>
  <w:num w:numId="16">
    <w:abstractNumId w:val="1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30"/>
  </w:num>
  <w:num w:numId="18">
    <w:abstractNumId w:val="1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2"/>
  </w:num>
  <w:num w:numId="20">
    <w:abstractNumId w:val="32"/>
  </w:num>
  <w:num w:numId="21">
    <w:abstractNumId w:val="36"/>
  </w:num>
  <w:num w:numId="22">
    <w:abstractNumId w:val="25"/>
  </w:num>
  <w:num w:numId="23">
    <w:abstractNumId w:val="42"/>
  </w:num>
  <w:num w:numId="24">
    <w:abstractNumId w:val="6"/>
  </w:num>
  <w:num w:numId="25">
    <w:abstractNumId w:val="29"/>
  </w:num>
  <w:num w:numId="26">
    <w:abstractNumId w:val="23"/>
  </w:num>
  <w:num w:numId="27">
    <w:abstractNumId w:val="3"/>
  </w:num>
  <w:num w:numId="28">
    <w:abstractNumId w:val="35"/>
  </w:num>
  <w:num w:numId="29">
    <w:abstractNumId w:val="27"/>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
  </w:num>
  <w:num w:numId="31">
    <w:abstractNumId w:val="12"/>
  </w:num>
  <w:num w:numId="32">
    <w:abstractNumId w:val="41"/>
  </w:num>
  <w:num w:numId="33">
    <w:abstractNumId w:val="43"/>
  </w:num>
  <w:num w:numId="34">
    <w:abstractNumId w:val="7"/>
  </w:num>
  <w:num w:numId="35">
    <w:abstractNumId w:val="0"/>
  </w:num>
  <w:num w:numId="36">
    <w:abstractNumId w:val="24"/>
  </w:num>
  <w:num w:numId="37">
    <w:abstractNumId w:val="31"/>
  </w:num>
  <w:num w:numId="38">
    <w:abstractNumId w:val="16"/>
  </w:num>
  <w:num w:numId="39">
    <w:abstractNumId w:val="38"/>
  </w:num>
  <w:num w:numId="40">
    <w:abstractNumId w:val="5"/>
  </w:num>
  <w:num w:numId="41">
    <w:abstractNumId w:val="33"/>
  </w:num>
  <w:num w:numId="42">
    <w:abstractNumId w:val="11"/>
  </w:num>
  <w:num w:numId="43">
    <w:abstractNumId w:val="39"/>
  </w:num>
  <w:num w:numId="44">
    <w:abstractNumId w:val="9"/>
  </w:num>
  <w:num w:numId="45">
    <w:abstractNumId w:val="1"/>
  </w:num>
  <w:num w:numId="46">
    <w:abstractNumId w:val="13"/>
  </w:num>
  <w:num w:numId="4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09"/>
    <w:rsid w:val="00016E61"/>
    <w:rsid w:val="00034973"/>
    <w:rsid w:val="00044741"/>
    <w:rsid w:val="000767FF"/>
    <w:rsid w:val="000A2EF4"/>
    <w:rsid w:val="000A4C6F"/>
    <w:rsid w:val="000C5668"/>
    <w:rsid w:val="000C6810"/>
    <w:rsid w:val="000D7888"/>
    <w:rsid w:val="000E2CDC"/>
    <w:rsid w:val="00101380"/>
    <w:rsid w:val="00126B18"/>
    <w:rsid w:val="001426E2"/>
    <w:rsid w:val="00167A08"/>
    <w:rsid w:val="00174CBB"/>
    <w:rsid w:val="001A3513"/>
    <w:rsid w:val="001B6BD0"/>
    <w:rsid w:val="00212C7E"/>
    <w:rsid w:val="002467C1"/>
    <w:rsid w:val="002B7CAE"/>
    <w:rsid w:val="0031636B"/>
    <w:rsid w:val="003359E5"/>
    <w:rsid w:val="003810C1"/>
    <w:rsid w:val="0040166F"/>
    <w:rsid w:val="0041296D"/>
    <w:rsid w:val="004469B4"/>
    <w:rsid w:val="004523A6"/>
    <w:rsid w:val="004618DB"/>
    <w:rsid w:val="004670AF"/>
    <w:rsid w:val="0046781A"/>
    <w:rsid w:val="00474430"/>
    <w:rsid w:val="00476663"/>
    <w:rsid w:val="004A7696"/>
    <w:rsid w:val="004E0266"/>
    <w:rsid w:val="005054BD"/>
    <w:rsid w:val="00540C0D"/>
    <w:rsid w:val="0055656C"/>
    <w:rsid w:val="00587537"/>
    <w:rsid w:val="005907D9"/>
    <w:rsid w:val="005B23B0"/>
    <w:rsid w:val="005B65F9"/>
    <w:rsid w:val="005D00DD"/>
    <w:rsid w:val="005F59C4"/>
    <w:rsid w:val="00622B5A"/>
    <w:rsid w:val="00635FDB"/>
    <w:rsid w:val="0067228D"/>
    <w:rsid w:val="006A3E5A"/>
    <w:rsid w:val="006C70D0"/>
    <w:rsid w:val="006D2DD9"/>
    <w:rsid w:val="006F6937"/>
    <w:rsid w:val="00701B39"/>
    <w:rsid w:val="007031CE"/>
    <w:rsid w:val="0070509B"/>
    <w:rsid w:val="00712E54"/>
    <w:rsid w:val="0072009E"/>
    <w:rsid w:val="007519CD"/>
    <w:rsid w:val="007528EC"/>
    <w:rsid w:val="00791A49"/>
    <w:rsid w:val="0079791C"/>
    <w:rsid w:val="007B7523"/>
    <w:rsid w:val="007D45D2"/>
    <w:rsid w:val="007F368F"/>
    <w:rsid w:val="00806825"/>
    <w:rsid w:val="00810BB8"/>
    <w:rsid w:val="0087344E"/>
    <w:rsid w:val="008B79DD"/>
    <w:rsid w:val="008C087C"/>
    <w:rsid w:val="008C40EC"/>
    <w:rsid w:val="008E0DB7"/>
    <w:rsid w:val="008E77E0"/>
    <w:rsid w:val="00963B55"/>
    <w:rsid w:val="00965C11"/>
    <w:rsid w:val="00970C09"/>
    <w:rsid w:val="009719B3"/>
    <w:rsid w:val="00985B5C"/>
    <w:rsid w:val="009A3086"/>
    <w:rsid w:val="009E1D70"/>
    <w:rsid w:val="009F385E"/>
    <w:rsid w:val="00A1499F"/>
    <w:rsid w:val="00A815AC"/>
    <w:rsid w:val="00A90023"/>
    <w:rsid w:val="00A92E24"/>
    <w:rsid w:val="00B22F81"/>
    <w:rsid w:val="00B23873"/>
    <w:rsid w:val="00B24D57"/>
    <w:rsid w:val="00B53952"/>
    <w:rsid w:val="00B672D1"/>
    <w:rsid w:val="00B84C18"/>
    <w:rsid w:val="00B867F0"/>
    <w:rsid w:val="00B909FB"/>
    <w:rsid w:val="00BA3116"/>
    <w:rsid w:val="00BE4F9B"/>
    <w:rsid w:val="00BF22C5"/>
    <w:rsid w:val="00BF7E0F"/>
    <w:rsid w:val="00C003FA"/>
    <w:rsid w:val="00C45A12"/>
    <w:rsid w:val="00C5228E"/>
    <w:rsid w:val="00CA6751"/>
    <w:rsid w:val="00CC0131"/>
    <w:rsid w:val="00D33E80"/>
    <w:rsid w:val="00D6517F"/>
    <w:rsid w:val="00D8562E"/>
    <w:rsid w:val="00D91635"/>
    <w:rsid w:val="00DE6DA1"/>
    <w:rsid w:val="00DF2114"/>
    <w:rsid w:val="00E025CA"/>
    <w:rsid w:val="00E11E17"/>
    <w:rsid w:val="00E35858"/>
    <w:rsid w:val="00E73B02"/>
    <w:rsid w:val="00E85D9F"/>
    <w:rsid w:val="00EA097D"/>
    <w:rsid w:val="00EB182A"/>
    <w:rsid w:val="00EB640E"/>
    <w:rsid w:val="00ED71E4"/>
    <w:rsid w:val="00F014D9"/>
    <w:rsid w:val="00F15E85"/>
    <w:rsid w:val="00FD18E1"/>
    <w:rsid w:val="00FD6E77"/>
    <w:rsid w:val="00FE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CD5FF"/>
  <w15:docId w15:val="{D1CB46DC-1BF2-4338-A96D-6F2DB19B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09"/>
    <w:pPr>
      <w:spacing w:after="5" w:line="250" w:lineRule="auto"/>
      <w:ind w:left="370" w:hanging="370"/>
    </w:pPr>
    <w:rPr>
      <w:rFonts w:ascii="Arial" w:eastAsia="Arial" w:hAnsi="Arial" w:cs="Arial"/>
      <w:color w:val="000000"/>
      <w:sz w:val="24"/>
      <w:lang w:eastAsia="en-GB"/>
    </w:rPr>
  </w:style>
  <w:style w:type="paragraph" w:styleId="Heading1">
    <w:name w:val="heading 1"/>
    <w:aliases w:val="TSB Headings"/>
    <w:next w:val="Normal"/>
    <w:link w:val="Heading1Char"/>
    <w:uiPriority w:val="9"/>
    <w:unhideWhenUsed/>
    <w:qFormat/>
    <w:rsid w:val="00970C09"/>
    <w:pPr>
      <w:keepNext/>
      <w:keepLines/>
      <w:spacing w:after="0" w:line="259" w:lineRule="auto"/>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970C09"/>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next w:val="Normal"/>
    <w:link w:val="Heading3Char"/>
    <w:uiPriority w:val="9"/>
    <w:unhideWhenUsed/>
    <w:qFormat/>
    <w:rsid w:val="00970C09"/>
    <w:pPr>
      <w:keepNext/>
      <w:keepLines/>
      <w:spacing w:after="3" w:line="259" w:lineRule="auto"/>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70C09"/>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970C09"/>
    <w:rPr>
      <w:rFonts w:ascii="Arial" w:eastAsia="Arial" w:hAnsi="Arial" w:cs="Arial"/>
      <w:b/>
      <w:color w:val="000000"/>
      <w:sz w:val="24"/>
      <w:lang w:eastAsia="en-GB"/>
    </w:rPr>
  </w:style>
  <w:style w:type="character" w:customStyle="1" w:styleId="Heading3Char">
    <w:name w:val="Heading 3 Char"/>
    <w:basedOn w:val="DefaultParagraphFont"/>
    <w:link w:val="Heading3"/>
    <w:uiPriority w:val="9"/>
    <w:rsid w:val="00970C09"/>
    <w:rPr>
      <w:rFonts w:ascii="Arial" w:eastAsia="Arial" w:hAnsi="Arial" w:cs="Arial"/>
      <w:b/>
      <w:color w:val="000000"/>
      <w:sz w:val="24"/>
      <w:lang w:eastAsia="en-GB"/>
    </w:rPr>
  </w:style>
  <w:style w:type="paragraph" w:styleId="ListParagraph">
    <w:name w:val="List Paragraph"/>
    <w:basedOn w:val="Normal"/>
    <w:link w:val="ListParagraphChar"/>
    <w:uiPriority w:val="34"/>
    <w:qFormat/>
    <w:rsid w:val="00970C09"/>
    <w:pPr>
      <w:ind w:left="720"/>
      <w:contextualSpacing/>
    </w:pPr>
  </w:style>
  <w:style w:type="paragraph" w:customStyle="1" w:styleId="TSB-Level1Numbers">
    <w:name w:val="TSB - Level 1 Numbers"/>
    <w:basedOn w:val="Heading1"/>
    <w:link w:val="TSB-Level1NumbersChar"/>
    <w:qFormat/>
    <w:rsid w:val="00970C09"/>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970C09"/>
    <w:rPr>
      <w:rFonts w:ascii="Arial" w:eastAsia="Arial" w:hAnsi="Arial" w:cs="Arial"/>
      <w:szCs w:val="32"/>
    </w:rPr>
  </w:style>
  <w:style w:type="character" w:styleId="Hyperlink">
    <w:name w:val="Hyperlink"/>
    <w:basedOn w:val="DefaultParagraphFont"/>
    <w:uiPriority w:val="99"/>
    <w:unhideWhenUsed/>
    <w:rsid w:val="00970C09"/>
    <w:rPr>
      <w:color w:val="0000FF" w:themeColor="hyperlink"/>
      <w:u w:val="single"/>
    </w:rPr>
  </w:style>
  <w:style w:type="character" w:customStyle="1" w:styleId="ListParagraphChar">
    <w:name w:val="List Paragraph Char"/>
    <w:basedOn w:val="DefaultParagraphFont"/>
    <w:link w:val="ListParagraph"/>
    <w:uiPriority w:val="34"/>
    <w:rsid w:val="00970C09"/>
    <w:rPr>
      <w:rFonts w:ascii="Arial" w:eastAsia="Arial" w:hAnsi="Arial" w:cs="Arial"/>
      <w:color w:val="000000"/>
      <w:sz w:val="24"/>
      <w:lang w:eastAsia="en-GB"/>
    </w:rPr>
  </w:style>
  <w:style w:type="paragraph" w:customStyle="1" w:styleId="TSB-PolicyBullets">
    <w:name w:val="TSB - Policy Bullets"/>
    <w:basedOn w:val="ListParagraph"/>
    <w:link w:val="TSB-PolicyBulletsChar"/>
    <w:autoRedefine/>
    <w:qFormat/>
    <w:rsid w:val="00C45A12"/>
    <w:pPr>
      <w:tabs>
        <w:tab w:val="left" w:pos="3686"/>
      </w:tabs>
      <w:spacing w:after="0" w:line="276" w:lineRule="auto"/>
      <w:ind w:left="0" w:firstLine="0"/>
      <w:contextualSpacing w:val="0"/>
      <w:jc w:val="both"/>
    </w:pPr>
    <w:rPr>
      <w:color w:val="auto"/>
      <w:sz w:val="22"/>
    </w:rPr>
  </w:style>
  <w:style w:type="character" w:customStyle="1" w:styleId="TSB-PolicyBulletsChar">
    <w:name w:val="TSB - Policy Bullets Char"/>
    <w:basedOn w:val="ListParagraphChar"/>
    <w:link w:val="TSB-PolicyBullets"/>
    <w:rsid w:val="00C45A12"/>
    <w:rPr>
      <w:rFonts w:ascii="Arial" w:eastAsia="Arial" w:hAnsi="Arial" w:cs="Arial"/>
      <w:color w:val="000000"/>
      <w:sz w:val="24"/>
      <w:lang w:eastAsia="en-GB"/>
    </w:rPr>
  </w:style>
  <w:style w:type="paragraph" w:customStyle="1" w:styleId="Default">
    <w:name w:val="Default"/>
    <w:rsid w:val="00970C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970C09"/>
  </w:style>
  <w:style w:type="paragraph" w:styleId="FootnoteText">
    <w:name w:val="footnote text"/>
    <w:basedOn w:val="Normal"/>
    <w:link w:val="FootnoteTextChar"/>
    <w:uiPriority w:val="99"/>
    <w:semiHidden/>
    <w:unhideWhenUsed/>
    <w:rsid w:val="00970C09"/>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70C09"/>
    <w:rPr>
      <w:sz w:val="20"/>
      <w:szCs w:val="20"/>
    </w:rPr>
  </w:style>
  <w:style w:type="paragraph" w:styleId="BalloonText">
    <w:name w:val="Balloon Text"/>
    <w:basedOn w:val="Normal"/>
    <w:link w:val="BalloonTextChar"/>
    <w:uiPriority w:val="99"/>
    <w:semiHidden/>
    <w:unhideWhenUsed/>
    <w:rsid w:val="0097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9"/>
    <w:rPr>
      <w:rFonts w:ascii="Tahoma" w:eastAsia="Arial" w:hAnsi="Tahoma" w:cs="Tahoma"/>
      <w:color w:val="000000"/>
      <w:sz w:val="16"/>
      <w:szCs w:val="16"/>
      <w:lang w:eastAsia="en-GB"/>
    </w:rPr>
  </w:style>
  <w:style w:type="numbering" w:customStyle="1" w:styleId="Style1">
    <w:name w:val="Style1"/>
    <w:basedOn w:val="NoList"/>
    <w:uiPriority w:val="99"/>
    <w:rsid w:val="00712E54"/>
    <w:pPr>
      <w:numPr>
        <w:numId w:val="2"/>
      </w:numPr>
    </w:pPr>
  </w:style>
  <w:style w:type="paragraph" w:customStyle="1" w:styleId="TSB-Level2Numbers">
    <w:name w:val="TSB - Level 2 Numbers"/>
    <w:basedOn w:val="TSB-Level1Numbers"/>
    <w:link w:val="TSB-Level2NumbersChar"/>
    <w:qFormat/>
    <w:rsid w:val="00712E54"/>
    <w:pPr>
      <w:ind w:left="2223" w:hanging="998"/>
      <w:jc w:val="left"/>
    </w:pPr>
    <w:rPr>
      <w:rFonts w:asciiTheme="majorHAnsi" w:eastAsiaTheme="minorHAnsi" w:hAnsiTheme="majorHAnsi" w:cstheme="minorHAnsi"/>
    </w:rPr>
  </w:style>
  <w:style w:type="paragraph" w:styleId="List">
    <w:name w:val="List"/>
    <w:basedOn w:val="TSB-Level1Numbers"/>
    <w:uiPriority w:val="99"/>
    <w:unhideWhenUsed/>
    <w:qFormat/>
    <w:rsid w:val="005907D9"/>
    <w:pPr>
      <w:numPr>
        <w:ilvl w:val="1"/>
        <w:numId w:val="6"/>
      </w:numPr>
      <w:ind w:left="1423"/>
      <w:jc w:val="left"/>
    </w:pPr>
    <w:rPr>
      <w:rFonts w:asciiTheme="majorHAnsi" w:eastAsiaTheme="minorHAnsi" w:hAnsiTheme="majorHAnsi" w:cstheme="minorHAnsi"/>
    </w:rPr>
  </w:style>
  <w:style w:type="paragraph" w:styleId="BodyText2">
    <w:name w:val="Body Text 2"/>
    <w:basedOn w:val="Normal"/>
    <w:link w:val="BodyText2Char"/>
    <w:rsid w:val="00540C0D"/>
    <w:pPr>
      <w:spacing w:after="0" w:line="240" w:lineRule="auto"/>
      <w:ind w:left="0" w:firstLine="0"/>
    </w:pPr>
    <w:rPr>
      <w:rFonts w:eastAsia="Times New Roman" w:cs="Times New Roman"/>
      <w:b/>
      <w:bCs/>
      <w:color w:val="auto"/>
      <w:szCs w:val="24"/>
    </w:rPr>
  </w:style>
  <w:style w:type="character" w:customStyle="1" w:styleId="BodyText2Char">
    <w:name w:val="Body Text 2 Char"/>
    <w:basedOn w:val="DefaultParagraphFont"/>
    <w:link w:val="BodyText2"/>
    <w:rsid w:val="00540C0D"/>
    <w:rPr>
      <w:rFonts w:ascii="Arial" w:eastAsia="Times New Roman" w:hAnsi="Arial" w:cs="Times New Roman"/>
      <w:b/>
      <w:bCs/>
      <w:sz w:val="24"/>
      <w:szCs w:val="24"/>
      <w:lang w:eastAsia="en-GB"/>
    </w:rPr>
  </w:style>
  <w:style w:type="character" w:customStyle="1" w:styleId="TSB-Level2NumbersChar">
    <w:name w:val="TSB - Level 2 Numbers Char"/>
    <w:basedOn w:val="TSB-Level1NumbersChar"/>
    <w:link w:val="TSB-Level2Numbers"/>
    <w:rsid w:val="00D91635"/>
    <w:rPr>
      <w:rFonts w:asciiTheme="majorHAnsi" w:eastAsia="Arial" w:hAnsiTheme="majorHAnsi" w:cstheme="minorHAnsi"/>
      <w:szCs w:val="32"/>
    </w:rPr>
  </w:style>
  <w:style w:type="paragraph" w:customStyle="1" w:styleId="PolicyBullets">
    <w:name w:val="Policy Bullets"/>
    <w:basedOn w:val="ListParagraph"/>
    <w:link w:val="PolicyBulletsChar"/>
    <w:qFormat/>
    <w:rsid w:val="00C45A12"/>
    <w:pPr>
      <w:spacing w:after="0" w:line="276" w:lineRule="auto"/>
      <w:ind w:left="1922" w:hanging="357"/>
    </w:pPr>
  </w:style>
  <w:style w:type="character" w:customStyle="1" w:styleId="PolicyBulletsChar">
    <w:name w:val="Policy Bullets Char"/>
    <w:basedOn w:val="ListParagraphChar"/>
    <w:link w:val="PolicyBullets"/>
    <w:rsid w:val="00C45A12"/>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28894">
      <w:bodyDiv w:val="1"/>
      <w:marLeft w:val="0"/>
      <w:marRight w:val="0"/>
      <w:marTop w:val="0"/>
      <w:marBottom w:val="0"/>
      <w:divBdr>
        <w:top w:val="none" w:sz="0" w:space="0" w:color="auto"/>
        <w:left w:val="none" w:sz="0" w:space="0" w:color="auto"/>
        <w:bottom w:val="none" w:sz="0" w:space="0" w:color="auto"/>
        <w:right w:val="none" w:sz="0" w:space="0" w:color="auto"/>
      </w:divBdr>
    </w:div>
    <w:div w:id="803809734">
      <w:bodyDiv w:val="1"/>
      <w:marLeft w:val="0"/>
      <w:marRight w:val="0"/>
      <w:marTop w:val="0"/>
      <w:marBottom w:val="0"/>
      <w:divBdr>
        <w:top w:val="none" w:sz="0" w:space="0" w:color="auto"/>
        <w:left w:val="none" w:sz="0" w:space="0" w:color="auto"/>
        <w:bottom w:val="none" w:sz="0" w:space="0" w:color="auto"/>
        <w:right w:val="none" w:sz="0" w:space="0" w:color="auto"/>
      </w:divBdr>
    </w:div>
    <w:div w:id="14798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597D6-8298-4AF9-BEA8-623FC993D803}">
  <ds:schemaRefs>
    <ds:schemaRef ds:uri="http://schemas.openxmlformats.org/officeDocument/2006/bibliography"/>
  </ds:schemaRefs>
</ds:datastoreItem>
</file>

<file path=customXml/itemProps2.xml><?xml version="1.0" encoding="utf-8"?>
<ds:datastoreItem xmlns:ds="http://schemas.openxmlformats.org/officeDocument/2006/customXml" ds:itemID="{63B3D178-84E0-424B-A440-BE37BA8ED3FE}">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3.xml><?xml version="1.0" encoding="utf-8"?>
<ds:datastoreItem xmlns:ds="http://schemas.openxmlformats.org/officeDocument/2006/customXml" ds:itemID="{5CEBAC67-3CDC-4CF9-8F4E-3E0CE285739E}">
  <ds:schemaRefs>
    <ds:schemaRef ds:uri="http://schemas.microsoft.com/sharepoint/v3/contenttype/forms"/>
  </ds:schemaRefs>
</ds:datastoreItem>
</file>

<file path=customXml/itemProps4.xml><?xml version="1.0" encoding="utf-8"?>
<ds:datastoreItem xmlns:ds="http://schemas.openxmlformats.org/officeDocument/2006/customXml" ds:itemID="{CEFEBA2B-63FA-429E-A156-E89B85C81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Whelan</dc:creator>
  <cp:lastModifiedBy>Shaun Dunkley</cp:lastModifiedBy>
  <cp:revision>2</cp:revision>
  <cp:lastPrinted>2020-06-16T12:22:00Z</cp:lastPrinted>
  <dcterms:created xsi:type="dcterms:W3CDTF">2023-09-07T09:01:00Z</dcterms:created>
  <dcterms:modified xsi:type="dcterms:W3CDTF">2023-09-07T09:01:00Z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578000</vt:r8>
  </property>
</Properties>
</file>